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2FF7BE" w14:textId="4BF93132" w:rsidR="00B50911" w:rsidRPr="00F17CB7" w:rsidRDefault="00E2736D" w:rsidP="00CC2186">
      <w:pPr>
        <w:spacing w:after="0" w:line="240" w:lineRule="auto"/>
        <w:ind w:left="11" w:hanging="11"/>
        <w:jc w:val="center"/>
        <w:rPr>
          <w:rFonts w:ascii="Times New Roman" w:hAnsi="Times New Roman" w:cs="Times New Roman"/>
          <w:b/>
          <w:sz w:val="24"/>
          <w:szCs w:val="24"/>
        </w:rPr>
      </w:pPr>
      <w:r w:rsidRPr="00F17CB7">
        <w:rPr>
          <w:rFonts w:ascii="Times New Roman" w:hAnsi="Times New Roman" w:cs="Times New Roman"/>
          <w:b/>
          <w:sz w:val="24"/>
          <w:szCs w:val="24"/>
        </w:rPr>
        <w:t>Raport z konsultacji publicznych i opiniowania</w:t>
      </w:r>
    </w:p>
    <w:p w14:paraId="0134519C" w14:textId="61BDE663" w:rsidR="00984228" w:rsidRPr="00F17CB7" w:rsidRDefault="00984228" w:rsidP="00F17CB7">
      <w:pPr>
        <w:pStyle w:val="ARTartustawynprozporzdzenia"/>
        <w:spacing w:before="0" w:line="240" w:lineRule="auto"/>
        <w:ind w:firstLine="0"/>
        <w:jc w:val="center"/>
        <w:rPr>
          <w:rFonts w:ascii="Times New Roman" w:hAnsi="Times New Roman" w:cs="Times New Roman"/>
          <w:b/>
          <w:bCs/>
          <w:i/>
          <w:iCs/>
          <w:szCs w:val="24"/>
        </w:rPr>
      </w:pPr>
      <w:r w:rsidRPr="00F17CB7">
        <w:rPr>
          <w:rFonts w:ascii="Times New Roman" w:hAnsi="Times New Roman" w:cs="Times New Roman"/>
          <w:b/>
          <w:bCs/>
          <w:i/>
          <w:iCs/>
          <w:szCs w:val="24"/>
        </w:rPr>
        <w:t xml:space="preserve">projektu rozporządzenia zmieniającego </w:t>
      </w:r>
      <w:bookmarkStart w:id="0" w:name="_Hlk72220448"/>
      <w:r w:rsidRPr="00F17CB7">
        <w:rPr>
          <w:rFonts w:ascii="Times New Roman" w:hAnsi="Times New Roman" w:cs="Times New Roman"/>
          <w:b/>
          <w:bCs/>
          <w:i/>
          <w:iCs/>
          <w:szCs w:val="24"/>
        </w:rPr>
        <w:t>rozporządzenie w sprawie sposobu wnoszenia pism</w:t>
      </w:r>
      <w:bookmarkEnd w:id="0"/>
      <w:r w:rsidRPr="00F17CB7">
        <w:rPr>
          <w:rFonts w:ascii="Times New Roman" w:hAnsi="Times New Roman" w:cs="Times New Roman"/>
          <w:b/>
          <w:bCs/>
          <w:i/>
          <w:iCs/>
          <w:szCs w:val="24"/>
        </w:rPr>
        <w:t xml:space="preserve"> procesowych za pośrednictwem systemu teleinformatycznego obsługującego postępowanie sądowe</w:t>
      </w:r>
    </w:p>
    <w:p w14:paraId="7D4305A3" w14:textId="5548267B" w:rsidR="00984228" w:rsidRPr="00F17CB7" w:rsidRDefault="00984228" w:rsidP="00984228">
      <w:pPr>
        <w:pStyle w:val="ARTartustawynprozporzdzenia"/>
        <w:spacing w:before="0" w:line="240" w:lineRule="auto"/>
        <w:ind w:firstLine="0"/>
        <w:jc w:val="center"/>
        <w:rPr>
          <w:rFonts w:ascii="Times New Roman" w:hAnsi="Times New Roman" w:cs="Times New Roman"/>
          <w:b/>
          <w:bCs/>
          <w:szCs w:val="24"/>
        </w:rPr>
      </w:pPr>
      <w:r w:rsidRPr="00F17CB7">
        <w:rPr>
          <w:rFonts w:ascii="Times New Roman" w:hAnsi="Times New Roman" w:cs="Times New Roman"/>
          <w:b/>
          <w:bCs/>
          <w:szCs w:val="24"/>
        </w:rPr>
        <w:t>(B563)</w:t>
      </w:r>
    </w:p>
    <w:p w14:paraId="06DBDD9A" w14:textId="50C89D89" w:rsidR="00E2736D" w:rsidRPr="00F17CB7" w:rsidRDefault="00E2736D" w:rsidP="00984228">
      <w:pPr>
        <w:pStyle w:val="ARTartustawynprozporzdzenia"/>
        <w:spacing w:before="0" w:line="240" w:lineRule="auto"/>
        <w:ind w:firstLine="0"/>
        <w:jc w:val="center"/>
        <w:rPr>
          <w:rFonts w:ascii="Times New Roman" w:hAnsi="Times New Roman" w:cs="Times New Roman"/>
          <w:bCs/>
          <w:szCs w:val="24"/>
        </w:rPr>
      </w:pPr>
    </w:p>
    <w:p w14:paraId="7C8AB579" w14:textId="32F61811" w:rsidR="00F17CB7" w:rsidRDefault="00E2736D" w:rsidP="00F17CB7">
      <w:pPr>
        <w:spacing w:after="0" w:line="240" w:lineRule="auto"/>
        <w:ind w:left="0" w:right="0" w:firstLine="709"/>
        <w:rPr>
          <w:rFonts w:ascii="Times New Roman" w:hAnsi="Times New Roman" w:cs="Times New Roman"/>
          <w:bCs/>
          <w:sz w:val="24"/>
          <w:szCs w:val="24"/>
        </w:rPr>
      </w:pPr>
      <w:r w:rsidRPr="00F17CB7">
        <w:rPr>
          <w:rFonts w:ascii="Times New Roman" w:hAnsi="Times New Roman" w:cs="Times New Roman"/>
          <w:bCs/>
          <w:sz w:val="24"/>
          <w:szCs w:val="24"/>
        </w:rPr>
        <w:t>W ramach konsultacji publicznych projekt przekazano do: Naczeln</w:t>
      </w:r>
      <w:r w:rsidR="00B50911" w:rsidRPr="00F17CB7">
        <w:rPr>
          <w:rFonts w:ascii="Times New Roman" w:hAnsi="Times New Roman" w:cs="Times New Roman"/>
          <w:bCs/>
          <w:sz w:val="24"/>
          <w:szCs w:val="24"/>
        </w:rPr>
        <w:t>ej</w:t>
      </w:r>
      <w:r w:rsidRPr="00F17CB7">
        <w:rPr>
          <w:rFonts w:ascii="Times New Roman" w:hAnsi="Times New Roman" w:cs="Times New Roman"/>
          <w:bCs/>
          <w:sz w:val="24"/>
          <w:szCs w:val="24"/>
        </w:rPr>
        <w:t xml:space="preserve"> Rad</w:t>
      </w:r>
      <w:r w:rsidR="00B50911" w:rsidRPr="00F17CB7">
        <w:rPr>
          <w:rFonts w:ascii="Times New Roman" w:hAnsi="Times New Roman" w:cs="Times New Roman"/>
          <w:bCs/>
          <w:sz w:val="24"/>
          <w:szCs w:val="24"/>
        </w:rPr>
        <w:t>y</w:t>
      </w:r>
      <w:r w:rsidRPr="00F17CB7">
        <w:rPr>
          <w:rFonts w:ascii="Times New Roman" w:hAnsi="Times New Roman" w:cs="Times New Roman"/>
          <w:bCs/>
          <w:sz w:val="24"/>
          <w:szCs w:val="24"/>
        </w:rPr>
        <w:t xml:space="preserve"> Adwokack</w:t>
      </w:r>
      <w:r w:rsidR="00B50911" w:rsidRPr="00F17CB7">
        <w:rPr>
          <w:rFonts w:ascii="Times New Roman" w:hAnsi="Times New Roman" w:cs="Times New Roman"/>
          <w:bCs/>
          <w:sz w:val="24"/>
          <w:szCs w:val="24"/>
        </w:rPr>
        <w:t>iej</w:t>
      </w:r>
      <w:r w:rsidRPr="00F17CB7">
        <w:rPr>
          <w:rFonts w:ascii="Times New Roman" w:hAnsi="Times New Roman" w:cs="Times New Roman"/>
          <w:bCs/>
          <w:sz w:val="24"/>
          <w:szCs w:val="24"/>
        </w:rPr>
        <w:t>,</w:t>
      </w:r>
      <w:r w:rsidR="00B50911" w:rsidRPr="00F17CB7">
        <w:rPr>
          <w:rFonts w:ascii="Times New Roman" w:hAnsi="Times New Roman" w:cs="Times New Roman"/>
          <w:bCs/>
          <w:sz w:val="24"/>
          <w:szCs w:val="24"/>
        </w:rPr>
        <w:t xml:space="preserve"> </w:t>
      </w:r>
      <w:r w:rsidRPr="00F17CB7">
        <w:rPr>
          <w:rFonts w:ascii="Times New Roman" w:hAnsi="Times New Roman" w:cs="Times New Roman"/>
          <w:bCs/>
          <w:sz w:val="24"/>
          <w:szCs w:val="24"/>
        </w:rPr>
        <w:t>Krajow</w:t>
      </w:r>
      <w:r w:rsidR="00B50911" w:rsidRPr="00F17CB7">
        <w:rPr>
          <w:rFonts w:ascii="Times New Roman" w:hAnsi="Times New Roman" w:cs="Times New Roman"/>
          <w:bCs/>
          <w:sz w:val="24"/>
          <w:szCs w:val="24"/>
        </w:rPr>
        <w:t>ej</w:t>
      </w:r>
      <w:r w:rsidRPr="00F17CB7">
        <w:rPr>
          <w:rFonts w:ascii="Times New Roman" w:hAnsi="Times New Roman" w:cs="Times New Roman"/>
          <w:bCs/>
          <w:sz w:val="24"/>
          <w:szCs w:val="24"/>
        </w:rPr>
        <w:t xml:space="preserve"> Iz</w:t>
      </w:r>
      <w:r w:rsidR="00B50911" w:rsidRPr="00F17CB7">
        <w:rPr>
          <w:rFonts w:ascii="Times New Roman" w:hAnsi="Times New Roman" w:cs="Times New Roman"/>
          <w:bCs/>
          <w:sz w:val="24"/>
          <w:szCs w:val="24"/>
        </w:rPr>
        <w:t>by</w:t>
      </w:r>
      <w:r w:rsidRPr="00F17CB7">
        <w:rPr>
          <w:rFonts w:ascii="Times New Roman" w:hAnsi="Times New Roman" w:cs="Times New Roman"/>
          <w:bCs/>
          <w:sz w:val="24"/>
          <w:szCs w:val="24"/>
        </w:rPr>
        <w:t xml:space="preserve"> Radców Prawnych, </w:t>
      </w:r>
      <w:r w:rsidR="00782FCA" w:rsidRPr="00F17CB7">
        <w:rPr>
          <w:rFonts w:ascii="Times New Roman" w:hAnsi="Times New Roman" w:cs="Times New Roman"/>
          <w:bCs/>
          <w:sz w:val="24"/>
          <w:szCs w:val="24"/>
        </w:rPr>
        <w:t>Krajowej</w:t>
      </w:r>
      <w:r w:rsidRPr="00F17CB7">
        <w:rPr>
          <w:rFonts w:ascii="Times New Roman" w:hAnsi="Times New Roman" w:cs="Times New Roman"/>
          <w:bCs/>
          <w:sz w:val="24"/>
          <w:szCs w:val="24"/>
        </w:rPr>
        <w:t xml:space="preserve"> Rad</w:t>
      </w:r>
      <w:r w:rsidR="00B50911" w:rsidRPr="00F17CB7">
        <w:rPr>
          <w:rFonts w:ascii="Times New Roman" w:hAnsi="Times New Roman" w:cs="Times New Roman"/>
          <w:bCs/>
          <w:sz w:val="24"/>
          <w:szCs w:val="24"/>
        </w:rPr>
        <w:t>y</w:t>
      </w:r>
      <w:r w:rsidRPr="00F17CB7">
        <w:rPr>
          <w:rFonts w:ascii="Times New Roman" w:hAnsi="Times New Roman" w:cs="Times New Roman"/>
          <w:bCs/>
          <w:sz w:val="24"/>
          <w:szCs w:val="24"/>
        </w:rPr>
        <w:t xml:space="preserve"> Notarialn</w:t>
      </w:r>
      <w:r w:rsidR="00B50911" w:rsidRPr="00F17CB7">
        <w:rPr>
          <w:rFonts w:ascii="Times New Roman" w:hAnsi="Times New Roman" w:cs="Times New Roman"/>
          <w:bCs/>
          <w:sz w:val="24"/>
          <w:szCs w:val="24"/>
        </w:rPr>
        <w:t>ej</w:t>
      </w:r>
      <w:r w:rsidRPr="00F17CB7">
        <w:rPr>
          <w:rFonts w:ascii="Times New Roman" w:hAnsi="Times New Roman" w:cs="Times New Roman"/>
          <w:bCs/>
          <w:sz w:val="24"/>
          <w:szCs w:val="24"/>
        </w:rPr>
        <w:t>, Stowarzyszeni</w:t>
      </w:r>
      <w:r w:rsidR="00B50911" w:rsidRPr="00F17CB7">
        <w:rPr>
          <w:rFonts w:ascii="Times New Roman" w:hAnsi="Times New Roman" w:cs="Times New Roman"/>
          <w:bCs/>
          <w:sz w:val="24"/>
          <w:szCs w:val="24"/>
        </w:rPr>
        <w:t>a</w:t>
      </w:r>
      <w:r w:rsidRPr="00F17CB7">
        <w:rPr>
          <w:rFonts w:ascii="Times New Roman" w:hAnsi="Times New Roman" w:cs="Times New Roman"/>
          <w:bCs/>
          <w:sz w:val="24"/>
          <w:szCs w:val="24"/>
        </w:rPr>
        <w:t xml:space="preserve"> Sędziów Polskich „</w:t>
      </w:r>
      <w:proofErr w:type="spellStart"/>
      <w:r w:rsidRPr="00F17CB7">
        <w:rPr>
          <w:rFonts w:ascii="Times New Roman" w:hAnsi="Times New Roman" w:cs="Times New Roman"/>
          <w:bCs/>
          <w:sz w:val="24"/>
          <w:szCs w:val="24"/>
        </w:rPr>
        <w:t>Iustitia</w:t>
      </w:r>
      <w:proofErr w:type="spellEnd"/>
      <w:r w:rsidRPr="00F17CB7">
        <w:rPr>
          <w:rFonts w:ascii="Times New Roman" w:hAnsi="Times New Roman" w:cs="Times New Roman"/>
          <w:bCs/>
          <w:sz w:val="24"/>
          <w:szCs w:val="24"/>
        </w:rPr>
        <w:t>”, Stowarzyszeni</w:t>
      </w:r>
      <w:r w:rsidR="00B50911" w:rsidRPr="00F17CB7">
        <w:rPr>
          <w:rFonts w:ascii="Times New Roman" w:hAnsi="Times New Roman" w:cs="Times New Roman"/>
          <w:bCs/>
          <w:sz w:val="24"/>
          <w:szCs w:val="24"/>
        </w:rPr>
        <w:t>a</w:t>
      </w:r>
      <w:r w:rsidRPr="00F17CB7">
        <w:rPr>
          <w:rFonts w:ascii="Times New Roman" w:hAnsi="Times New Roman" w:cs="Times New Roman"/>
          <w:bCs/>
          <w:sz w:val="24"/>
          <w:szCs w:val="24"/>
        </w:rPr>
        <w:t xml:space="preserve"> Sędziów „</w:t>
      </w:r>
      <w:proofErr w:type="spellStart"/>
      <w:r w:rsidRPr="00F17CB7">
        <w:rPr>
          <w:rFonts w:ascii="Times New Roman" w:hAnsi="Times New Roman" w:cs="Times New Roman"/>
          <w:bCs/>
          <w:sz w:val="24"/>
          <w:szCs w:val="24"/>
        </w:rPr>
        <w:t>Themis</w:t>
      </w:r>
      <w:proofErr w:type="spellEnd"/>
      <w:r w:rsidRPr="00F17CB7">
        <w:rPr>
          <w:rFonts w:ascii="Times New Roman" w:hAnsi="Times New Roman" w:cs="Times New Roman"/>
          <w:bCs/>
          <w:sz w:val="24"/>
          <w:szCs w:val="24"/>
        </w:rPr>
        <w:t>”, Porozumieni</w:t>
      </w:r>
      <w:r w:rsidR="00B50911" w:rsidRPr="00F17CB7">
        <w:rPr>
          <w:rFonts w:ascii="Times New Roman" w:hAnsi="Times New Roman" w:cs="Times New Roman"/>
          <w:bCs/>
          <w:sz w:val="24"/>
          <w:szCs w:val="24"/>
        </w:rPr>
        <w:t>a</w:t>
      </w:r>
      <w:r w:rsidRPr="00F17CB7">
        <w:rPr>
          <w:rFonts w:ascii="Times New Roman" w:hAnsi="Times New Roman" w:cs="Times New Roman"/>
          <w:bCs/>
          <w:sz w:val="24"/>
          <w:szCs w:val="24"/>
        </w:rPr>
        <w:t xml:space="preserve"> Samorządów Zawodowych i Stowarzyszeń Prawniczych, Polsk</w:t>
      </w:r>
      <w:r w:rsidR="00B50911" w:rsidRPr="00F17CB7">
        <w:rPr>
          <w:rFonts w:ascii="Times New Roman" w:hAnsi="Times New Roman" w:cs="Times New Roman"/>
          <w:bCs/>
          <w:sz w:val="24"/>
          <w:szCs w:val="24"/>
        </w:rPr>
        <w:t xml:space="preserve">iego </w:t>
      </w:r>
      <w:r w:rsidRPr="00F17CB7">
        <w:rPr>
          <w:rFonts w:ascii="Times New Roman" w:hAnsi="Times New Roman" w:cs="Times New Roman"/>
          <w:bCs/>
          <w:sz w:val="24"/>
          <w:szCs w:val="24"/>
        </w:rPr>
        <w:t>Związk</w:t>
      </w:r>
      <w:r w:rsidR="00B50911" w:rsidRPr="00F17CB7">
        <w:rPr>
          <w:rFonts w:ascii="Times New Roman" w:hAnsi="Times New Roman" w:cs="Times New Roman"/>
          <w:bCs/>
          <w:sz w:val="24"/>
          <w:szCs w:val="24"/>
        </w:rPr>
        <w:t xml:space="preserve">u </w:t>
      </w:r>
      <w:r w:rsidRPr="00F17CB7">
        <w:rPr>
          <w:rFonts w:ascii="Times New Roman" w:hAnsi="Times New Roman" w:cs="Times New Roman"/>
          <w:bCs/>
          <w:sz w:val="24"/>
          <w:szCs w:val="24"/>
        </w:rPr>
        <w:t xml:space="preserve"> Pracodawców Prawniczych, Stowarzyszeni</w:t>
      </w:r>
      <w:r w:rsidR="00B50911" w:rsidRPr="00F17CB7">
        <w:rPr>
          <w:rFonts w:ascii="Times New Roman" w:hAnsi="Times New Roman" w:cs="Times New Roman"/>
          <w:bCs/>
          <w:sz w:val="24"/>
          <w:szCs w:val="24"/>
        </w:rPr>
        <w:t>a</w:t>
      </w:r>
      <w:r w:rsidRPr="00F17CB7">
        <w:rPr>
          <w:rFonts w:ascii="Times New Roman" w:hAnsi="Times New Roman" w:cs="Times New Roman"/>
          <w:bCs/>
          <w:sz w:val="24"/>
          <w:szCs w:val="24"/>
        </w:rPr>
        <w:t xml:space="preserve"> Prawnicy dla Polski</w:t>
      </w:r>
      <w:r w:rsidR="00782FCA" w:rsidRPr="00F17CB7">
        <w:rPr>
          <w:rFonts w:ascii="Times New Roman" w:hAnsi="Times New Roman" w:cs="Times New Roman"/>
          <w:bCs/>
          <w:sz w:val="24"/>
          <w:szCs w:val="24"/>
        </w:rPr>
        <w:t xml:space="preserve"> oraz </w:t>
      </w:r>
      <w:r w:rsidRPr="00F17CB7">
        <w:rPr>
          <w:rFonts w:ascii="Times New Roman" w:hAnsi="Times New Roman" w:cs="Times New Roman"/>
          <w:bCs/>
          <w:sz w:val="24"/>
          <w:szCs w:val="24"/>
        </w:rPr>
        <w:t>Helsińsk</w:t>
      </w:r>
      <w:r w:rsidR="00B50911" w:rsidRPr="00F17CB7">
        <w:rPr>
          <w:rFonts w:ascii="Times New Roman" w:hAnsi="Times New Roman" w:cs="Times New Roman"/>
          <w:bCs/>
          <w:sz w:val="24"/>
          <w:szCs w:val="24"/>
        </w:rPr>
        <w:t>iej</w:t>
      </w:r>
      <w:r w:rsidRPr="00F17CB7">
        <w:rPr>
          <w:rFonts w:ascii="Times New Roman" w:hAnsi="Times New Roman" w:cs="Times New Roman"/>
          <w:bCs/>
          <w:sz w:val="24"/>
          <w:szCs w:val="24"/>
        </w:rPr>
        <w:t xml:space="preserve"> Fundacj</w:t>
      </w:r>
      <w:r w:rsidR="00B50911" w:rsidRPr="00F17CB7">
        <w:rPr>
          <w:rFonts w:ascii="Times New Roman" w:hAnsi="Times New Roman" w:cs="Times New Roman"/>
          <w:bCs/>
          <w:sz w:val="24"/>
          <w:szCs w:val="24"/>
        </w:rPr>
        <w:t>i</w:t>
      </w:r>
      <w:r w:rsidRPr="00F17CB7">
        <w:rPr>
          <w:rFonts w:ascii="Times New Roman" w:hAnsi="Times New Roman" w:cs="Times New Roman"/>
          <w:bCs/>
          <w:sz w:val="24"/>
          <w:szCs w:val="24"/>
        </w:rPr>
        <w:t xml:space="preserve"> Praw Człowieka, Fundacj</w:t>
      </w:r>
      <w:r w:rsidR="00B50911" w:rsidRPr="00F17CB7">
        <w:rPr>
          <w:rFonts w:ascii="Times New Roman" w:hAnsi="Times New Roman" w:cs="Times New Roman"/>
          <w:bCs/>
          <w:sz w:val="24"/>
          <w:szCs w:val="24"/>
        </w:rPr>
        <w:t>i</w:t>
      </w:r>
      <w:r w:rsidRPr="00F17CB7">
        <w:rPr>
          <w:rFonts w:ascii="Times New Roman" w:hAnsi="Times New Roman" w:cs="Times New Roman"/>
          <w:bCs/>
          <w:sz w:val="24"/>
          <w:szCs w:val="24"/>
        </w:rPr>
        <w:t xml:space="preserve"> Panoptykon, Fundacj</w:t>
      </w:r>
      <w:r w:rsidR="00B50911" w:rsidRPr="00F17CB7">
        <w:rPr>
          <w:rFonts w:ascii="Times New Roman" w:hAnsi="Times New Roman" w:cs="Times New Roman"/>
          <w:bCs/>
          <w:sz w:val="24"/>
          <w:szCs w:val="24"/>
        </w:rPr>
        <w:t>i</w:t>
      </w:r>
      <w:r w:rsidRPr="00F17CB7">
        <w:rPr>
          <w:rFonts w:ascii="Times New Roman" w:hAnsi="Times New Roman" w:cs="Times New Roman"/>
          <w:bCs/>
          <w:sz w:val="24"/>
          <w:szCs w:val="24"/>
        </w:rPr>
        <w:t xml:space="preserve"> Court Watch Polska, Fundacj</w:t>
      </w:r>
      <w:r w:rsidR="00B50911" w:rsidRPr="00F17CB7">
        <w:rPr>
          <w:rFonts w:ascii="Times New Roman" w:hAnsi="Times New Roman" w:cs="Times New Roman"/>
          <w:bCs/>
          <w:sz w:val="24"/>
          <w:szCs w:val="24"/>
        </w:rPr>
        <w:t>i</w:t>
      </w:r>
      <w:r w:rsidRPr="00F17CB7">
        <w:rPr>
          <w:rFonts w:ascii="Times New Roman" w:hAnsi="Times New Roman" w:cs="Times New Roman"/>
          <w:bCs/>
          <w:sz w:val="24"/>
          <w:szCs w:val="24"/>
        </w:rPr>
        <w:t xml:space="preserve"> Ordo Iuris</w:t>
      </w:r>
      <w:r w:rsidR="00782FCA" w:rsidRPr="00F17CB7">
        <w:rPr>
          <w:rFonts w:ascii="Times New Roman" w:hAnsi="Times New Roman" w:cs="Times New Roman"/>
          <w:bCs/>
          <w:sz w:val="24"/>
          <w:szCs w:val="24"/>
        </w:rPr>
        <w:t xml:space="preserve"> i</w:t>
      </w:r>
      <w:r w:rsidRPr="00F17CB7">
        <w:rPr>
          <w:rFonts w:ascii="Times New Roman" w:hAnsi="Times New Roman" w:cs="Times New Roman"/>
          <w:bCs/>
          <w:sz w:val="24"/>
          <w:szCs w:val="24"/>
        </w:rPr>
        <w:t xml:space="preserve"> Fundacj</w:t>
      </w:r>
      <w:r w:rsidR="00B50911" w:rsidRPr="00F17CB7">
        <w:rPr>
          <w:rFonts w:ascii="Times New Roman" w:hAnsi="Times New Roman" w:cs="Times New Roman"/>
          <w:bCs/>
          <w:sz w:val="24"/>
          <w:szCs w:val="24"/>
        </w:rPr>
        <w:t>i</w:t>
      </w:r>
      <w:r w:rsidRPr="00F17CB7">
        <w:rPr>
          <w:rFonts w:ascii="Times New Roman" w:hAnsi="Times New Roman" w:cs="Times New Roman"/>
          <w:bCs/>
          <w:sz w:val="24"/>
          <w:szCs w:val="24"/>
        </w:rPr>
        <w:t xml:space="preserve"> im. Stefana Batorego</w:t>
      </w:r>
      <w:r w:rsidR="00B50911" w:rsidRPr="00F17CB7">
        <w:rPr>
          <w:rFonts w:ascii="Times New Roman" w:hAnsi="Times New Roman" w:cs="Times New Roman"/>
          <w:bCs/>
          <w:sz w:val="24"/>
          <w:szCs w:val="24"/>
        </w:rPr>
        <w:t>.</w:t>
      </w:r>
    </w:p>
    <w:p w14:paraId="4D0EEF10" w14:textId="4BDB432C" w:rsidR="00F17CB7" w:rsidRDefault="00F17CB7" w:rsidP="00F17CB7">
      <w:pPr>
        <w:spacing w:after="0" w:line="240" w:lineRule="auto"/>
        <w:ind w:left="0" w:right="0" w:firstLine="709"/>
        <w:rPr>
          <w:rFonts w:ascii="Times New Roman" w:hAnsi="Times New Roman" w:cs="Times New Roman"/>
          <w:bCs/>
          <w:sz w:val="24"/>
          <w:szCs w:val="24"/>
        </w:rPr>
      </w:pPr>
      <w:r>
        <w:rPr>
          <w:rFonts w:ascii="Times New Roman" w:hAnsi="Times New Roman" w:cs="Times New Roman"/>
          <w:sz w:val="24"/>
          <w:szCs w:val="24"/>
        </w:rPr>
        <w:t xml:space="preserve">Uwagi do projektu przedstawiła jedynie </w:t>
      </w:r>
      <w:r w:rsidRPr="00F17CB7">
        <w:rPr>
          <w:rFonts w:ascii="Times New Roman" w:hAnsi="Times New Roman" w:cs="Times New Roman"/>
          <w:sz w:val="24"/>
          <w:szCs w:val="24"/>
        </w:rPr>
        <w:t>Konfederacj</w:t>
      </w:r>
      <w:r w:rsidR="004E4E08">
        <w:rPr>
          <w:rFonts w:ascii="Times New Roman" w:hAnsi="Times New Roman" w:cs="Times New Roman"/>
          <w:sz w:val="24"/>
          <w:szCs w:val="24"/>
        </w:rPr>
        <w:t>a</w:t>
      </w:r>
      <w:r w:rsidRPr="00F17CB7">
        <w:rPr>
          <w:rFonts w:ascii="Times New Roman" w:hAnsi="Times New Roman" w:cs="Times New Roman"/>
          <w:sz w:val="24"/>
          <w:szCs w:val="24"/>
        </w:rPr>
        <w:t xml:space="preserve"> Lewiatan</w:t>
      </w:r>
      <w:r>
        <w:rPr>
          <w:rFonts w:ascii="Times New Roman" w:hAnsi="Times New Roman" w:cs="Times New Roman"/>
          <w:sz w:val="24"/>
          <w:szCs w:val="24"/>
        </w:rPr>
        <w:t>.</w:t>
      </w:r>
    </w:p>
    <w:p w14:paraId="6A7A911E" w14:textId="77777777" w:rsidR="00F17CB7" w:rsidRPr="00F17CB7" w:rsidRDefault="00F17CB7" w:rsidP="00F17CB7">
      <w:pPr>
        <w:spacing w:after="0" w:line="240" w:lineRule="auto"/>
        <w:ind w:left="0" w:right="0" w:firstLine="709"/>
        <w:rPr>
          <w:rFonts w:ascii="Times New Roman" w:hAnsi="Times New Roman" w:cs="Times New Roman"/>
          <w:bCs/>
          <w:sz w:val="24"/>
          <w:szCs w:val="24"/>
        </w:rPr>
      </w:pPr>
    </w:p>
    <w:p w14:paraId="65153301" w14:textId="76D8C2A4" w:rsidR="00984228" w:rsidRPr="00F17CB7" w:rsidRDefault="00782FCA" w:rsidP="00F17CB7">
      <w:pPr>
        <w:spacing w:after="0" w:line="240" w:lineRule="auto"/>
        <w:ind w:left="0" w:right="0" w:firstLine="709"/>
        <w:rPr>
          <w:rFonts w:ascii="Times New Roman" w:hAnsi="Times New Roman" w:cs="Times New Roman"/>
          <w:bCs/>
          <w:sz w:val="24"/>
          <w:szCs w:val="24"/>
        </w:rPr>
      </w:pPr>
      <w:r w:rsidRPr="00F17CB7">
        <w:rPr>
          <w:rFonts w:ascii="Times New Roman" w:hAnsi="Times New Roman" w:cs="Times New Roman"/>
          <w:bCs/>
          <w:sz w:val="24"/>
          <w:szCs w:val="24"/>
        </w:rPr>
        <w:t xml:space="preserve">Projekt został przedstawiony do zaopiniowania </w:t>
      </w:r>
      <w:r w:rsidR="00E2736D" w:rsidRPr="00F17CB7">
        <w:rPr>
          <w:rFonts w:ascii="Times New Roman" w:hAnsi="Times New Roman" w:cs="Times New Roman"/>
          <w:bCs/>
          <w:sz w:val="24"/>
          <w:szCs w:val="24"/>
        </w:rPr>
        <w:t>Sąd</w:t>
      </w:r>
      <w:r w:rsidRPr="00F17CB7">
        <w:rPr>
          <w:rFonts w:ascii="Times New Roman" w:hAnsi="Times New Roman" w:cs="Times New Roman"/>
          <w:bCs/>
          <w:sz w:val="24"/>
          <w:szCs w:val="24"/>
        </w:rPr>
        <w:t>owi</w:t>
      </w:r>
      <w:r w:rsidR="00E2736D" w:rsidRPr="00F17CB7">
        <w:rPr>
          <w:rFonts w:ascii="Times New Roman" w:hAnsi="Times New Roman" w:cs="Times New Roman"/>
          <w:bCs/>
          <w:sz w:val="24"/>
          <w:szCs w:val="24"/>
        </w:rPr>
        <w:t xml:space="preserve"> Najwyż</w:t>
      </w:r>
      <w:r w:rsidRPr="00F17CB7">
        <w:rPr>
          <w:rFonts w:ascii="Times New Roman" w:hAnsi="Times New Roman" w:cs="Times New Roman"/>
          <w:bCs/>
          <w:sz w:val="24"/>
          <w:szCs w:val="24"/>
        </w:rPr>
        <w:t>szemu</w:t>
      </w:r>
      <w:r w:rsidR="00E2736D" w:rsidRPr="00F17CB7">
        <w:rPr>
          <w:rFonts w:ascii="Times New Roman" w:hAnsi="Times New Roman" w:cs="Times New Roman"/>
          <w:bCs/>
          <w:sz w:val="24"/>
          <w:szCs w:val="24"/>
        </w:rPr>
        <w:t>, Krajowej Rad</w:t>
      </w:r>
      <w:r w:rsidRPr="00F17CB7">
        <w:rPr>
          <w:rFonts w:ascii="Times New Roman" w:hAnsi="Times New Roman" w:cs="Times New Roman"/>
          <w:bCs/>
          <w:sz w:val="24"/>
          <w:szCs w:val="24"/>
        </w:rPr>
        <w:t>zie</w:t>
      </w:r>
      <w:r w:rsidR="00E2736D" w:rsidRPr="00F17CB7">
        <w:rPr>
          <w:rFonts w:ascii="Times New Roman" w:hAnsi="Times New Roman" w:cs="Times New Roman"/>
          <w:bCs/>
          <w:sz w:val="24"/>
          <w:szCs w:val="24"/>
        </w:rPr>
        <w:t xml:space="preserve"> Sądowni</w:t>
      </w:r>
      <w:r w:rsidRPr="00F17CB7">
        <w:rPr>
          <w:rFonts w:ascii="Times New Roman" w:hAnsi="Times New Roman" w:cs="Times New Roman"/>
          <w:bCs/>
          <w:sz w:val="24"/>
          <w:szCs w:val="24"/>
        </w:rPr>
        <w:t>ctw</w:t>
      </w:r>
      <w:r w:rsidR="00E2736D" w:rsidRPr="00F17CB7">
        <w:rPr>
          <w:rFonts w:ascii="Times New Roman" w:hAnsi="Times New Roman" w:cs="Times New Roman"/>
          <w:bCs/>
          <w:sz w:val="24"/>
          <w:szCs w:val="24"/>
        </w:rPr>
        <w:t>, Prezes</w:t>
      </w:r>
      <w:r w:rsidRPr="00F17CB7">
        <w:rPr>
          <w:rFonts w:ascii="Times New Roman" w:hAnsi="Times New Roman" w:cs="Times New Roman"/>
          <w:bCs/>
          <w:sz w:val="24"/>
          <w:szCs w:val="24"/>
        </w:rPr>
        <w:t>owi</w:t>
      </w:r>
      <w:r w:rsidR="00E2736D" w:rsidRPr="00F17CB7">
        <w:rPr>
          <w:rFonts w:ascii="Times New Roman" w:hAnsi="Times New Roman" w:cs="Times New Roman"/>
          <w:bCs/>
          <w:sz w:val="24"/>
          <w:szCs w:val="24"/>
        </w:rPr>
        <w:t xml:space="preserve"> Urzędu Ochrony Danych Osobowych oraz </w:t>
      </w:r>
      <w:r w:rsidRPr="00F17CB7">
        <w:rPr>
          <w:rFonts w:ascii="Times New Roman" w:hAnsi="Times New Roman" w:cs="Times New Roman"/>
          <w:bCs/>
          <w:sz w:val="24"/>
          <w:szCs w:val="24"/>
        </w:rPr>
        <w:t>wszystkim sądom</w:t>
      </w:r>
      <w:r w:rsidR="00E2736D" w:rsidRPr="00F17CB7">
        <w:rPr>
          <w:rFonts w:ascii="Times New Roman" w:hAnsi="Times New Roman" w:cs="Times New Roman"/>
          <w:bCs/>
          <w:sz w:val="24"/>
          <w:szCs w:val="24"/>
        </w:rPr>
        <w:t xml:space="preserve"> apelacyjny</w:t>
      </w:r>
      <w:r w:rsidR="004E4E08">
        <w:rPr>
          <w:rFonts w:ascii="Times New Roman" w:hAnsi="Times New Roman" w:cs="Times New Roman"/>
          <w:bCs/>
          <w:sz w:val="24"/>
          <w:szCs w:val="24"/>
        </w:rPr>
        <w:t>m</w:t>
      </w:r>
      <w:r w:rsidR="00E2736D" w:rsidRPr="00F17CB7">
        <w:rPr>
          <w:rFonts w:ascii="Times New Roman" w:hAnsi="Times New Roman" w:cs="Times New Roman"/>
          <w:bCs/>
          <w:sz w:val="24"/>
          <w:szCs w:val="24"/>
        </w:rPr>
        <w:t>.</w:t>
      </w:r>
    </w:p>
    <w:p w14:paraId="677FA08C" w14:textId="1B2B504B" w:rsidR="005A1B46" w:rsidRDefault="00E2736D" w:rsidP="00F17CB7">
      <w:pPr>
        <w:pStyle w:val="Default"/>
        <w:jc w:val="both"/>
        <w:rPr>
          <w:rFonts w:ascii="Times New Roman" w:hAnsi="Times New Roman" w:cs="Times New Roman"/>
          <w:bCs/>
          <w:color w:val="auto"/>
        </w:rPr>
      </w:pPr>
      <w:r w:rsidRPr="00F17CB7">
        <w:rPr>
          <w:rFonts w:ascii="Times New Roman" w:hAnsi="Times New Roman" w:cs="Times New Roman"/>
          <w:bCs/>
        </w:rPr>
        <w:t xml:space="preserve">            </w:t>
      </w:r>
      <w:r w:rsidR="00782FCA" w:rsidRPr="00F17CB7">
        <w:rPr>
          <w:rFonts w:ascii="Times New Roman" w:hAnsi="Times New Roman" w:cs="Times New Roman"/>
          <w:bCs/>
        </w:rPr>
        <w:t>U</w:t>
      </w:r>
      <w:r w:rsidRPr="00F17CB7">
        <w:rPr>
          <w:rFonts w:ascii="Times New Roman" w:hAnsi="Times New Roman" w:cs="Times New Roman"/>
          <w:bCs/>
        </w:rPr>
        <w:t xml:space="preserve">wagi </w:t>
      </w:r>
      <w:r w:rsidR="00782FCA" w:rsidRPr="00F17CB7">
        <w:rPr>
          <w:rFonts w:ascii="Times New Roman" w:hAnsi="Times New Roman" w:cs="Times New Roman"/>
          <w:bCs/>
        </w:rPr>
        <w:t xml:space="preserve">do projektu </w:t>
      </w:r>
      <w:r w:rsidRPr="00F17CB7">
        <w:rPr>
          <w:rFonts w:ascii="Times New Roman" w:hAnsi="Times New Roman" w:cs="Times New Roman"/>
          <w:bCs/>
        </w:rPr>
        <w:t>zostały zgłoszone przez</w:t>
      </w:r>
      <w:r w:rsidR="005A1B46" w:rsidRPr="00F17CB7">
        <w:rPr>
          <w:rFonts w:ascii="Times New Roman" w:hAnsi="Times New Roman" w:cs="Times New Roman"/>
          <w:bCs/>
        </w:rPr>
        <w:t xml:space="preserve">: </w:t>
      </w:r>
      <w:r w:rsidR="00984228" w:rsidRPr="00F17CB7">
        <w:rPr>
          <w:rFonts w:ascii="Times New Roman" w:hAnsi="Times New Roman" w:cs="Times New Roman"/>
          <w:bCs/>
        </w:rPr>
        <w:t>Prezesa Urzędu Ochrony Danych Osobowych</w:t>
      </w:r>
      <w:r w:rsidR="004E4E08">
        <w:rPr>
          <w:rFonts w:ascii="Times New Roman" w:hAnsi="Times New Roman" w:cs="Times New Roman"/>
          <w:bCs/>
        </w:rPr>
        <w:t xml:space="preserve"> i</w:t>
      </w:r>
      <w:r w:rsidR="00984228" w:rsidRPr="00F17CB7">
        <w:rPr>
          <w:rFonts w:ascii="Times New Roman" w:hAnsi="Times New Roman" w:cs="Times New Roman"/>
          <w:bCs/>
        </w:rPr>
        <w:t xml:space="preserve"> </w:t>
      </w:r>
      <w:r w:rsidR="00C32C3B" w:rsidRPr="00F17CB7">
        <w:rPr>
          <w:rFonts w:ascii="Times New Roman" w:hAnsi="Times New Roman" w:cs="Times New Roman"/>
        </w:rPr>
        <w:t>Oddział Informatyczny Centrum Kompetencji i Informatyzacji Sądownictwa w Sądzie Apelacyjnym we Wrocławi</w:t>
      </w:r>
      <w:r w:rsidR="009E52A9" w:rsidRPr="00F17CB7">
        <w:rPr>
          <w:rFonts w:ascii="Times New Roman" w:hAnsi="Times New Roman" w:cs="Times New Roman"/>
        </w:rPr>
        <w:t>u</w:t>
      </w:r>
      <w:r w:rsidR="005A1B46" w:rsidRPr="00F17CB7">
        <w:rPr>
          <w:rFonts w:ascii="Times New Roman" w:hAnsi="Times New Roman" w:cs="Times New Roman"/>
          <w:bCs/>
          <w:color w:val="auto"/>
        </w:rPr>
        <w:t>.</w:t>
      </w:r>
    </w:p>
    <w:p w14:paraId="372D9F7B" w14:textId="77777777" w:rsidR="002878FB" w:rsidRPr="00F17CB7" w:rsidRDefault="002878FB" w:rsidP="00F17CB7">
      <w:pPr>
        <w:pStyle w:val="Default"/>
        <w:jc w:val="both"/>
        <w:rPr>
          <w:rFonts w:ascii="Times New Roman" w:hAnsi="Times New Roman" w:cs="Times New Roman"/>
          <w:bCs/>
          <w:color w:val="auto"/>
        </w:rPr>
      </w:pPr>
    </w:p>
    <w:p w14:paraId="6C4BF1E5" w14:textId="77777777" w:rsidR="002878FB" w:rsidRPr="00CC2186" w:rsidRDefault="002878FB" w:rsidP="002878FB">
      <w:pPr>
        <w:pStyle w:val="Default"/>
        <w:ind w:firstLine="708"/>
        <w:jc w:val="both"/>
        <w:rPr>
          <w:rFonts w:ascii="Times New Roman" w:eastAsia="Times New Roman" w:hAnsi="Times New Roman" w:cs="Times New Roman"/>
          <w:bCs/>
          <w:color w:val="auto"/>
        </w:rPr>
      </w:pPr>
      <w:r w:rsidRPr="00F17CB7">
        <w:rPr>
          <w:rFonts w:ascii="Times New Roman" w:hAnsi="Times New Roman" w:cs="Times New Roman"/>
          <w:bCs/>
        </w:rPr>
        <w:t>Nie wpłynęło zgłoszenie od podmiotów zainteresowanych pracami nad przedmiotowym projektem zgodnie z ustawą o działal</w:t>
      </w:r>
      <w:r w:rsidRPr="00AE0E37">
        <w:rPr>
          <w:rFonts w:ascii="Times New Roman" w:hAnsi="Times New Roman" w:cs="Times New Roman"/>
          <w:bCs/>
        </w:rPr>
        <w:t>ności lobbingowej w procesie stanowienia praw</w:t>
      </w:r>
      <w:r>
        <w:rPr>
          <w:rFonts w:ascii="Times New Roman" w:hAnsi="Times New Roman" w:cs="Times New Roman"/>
          <w:bCs/>
        </w:rPr>
        <w:t>.</w:t>
      </w:r>
    </w:p>
    <w:p w14:paraId="4BC503B1" w14:textId="602B6993" w:rsidR="009E52A9" w:rsidRPr="00F17CB7" w:rsidRDefault="009E52A9" w:rsidP="00F17CB7">
      <w:pPr>
        <w:pStyle w:val="Default"/>
        <w:ind w:firstLine="708"/>
        <w:jc w:val="both"/>
        <w:rPr>
          <w:rFonts w:ascii="Times New Roman" w:hAnsi="Times New Roman" w:cs="Times New Roman"/>
          <w:bCs/>
          <w:color w:val="auto"/>
        </w:rPr>
      </w:pPr>
    </w:p>
    <w:p w14:paraId="0F02B508" w14:textId="77777777" w:rsidR="002878FB" w:rsidRDefault="002878FB" w:rsidP="002878FB">
      <w:pPr>
        <w:pStyle w:val="Default"/>
        <w:jc w:val="both"/>
        <w:rPr>
          <w:rFonts w:ascii="Times New Roman" w:hAnsi="Times New Roman" w:cs="Times New Roman"/>
          <w:bCs/>
          <w:color w:val="auto"/>
        </w:rPr>
      </w:pPr>
    </w:p>
    <w:p w14:paraId="1B5B3B00" w14:textId="38F45384" w:rsidR="007606C4" w:rsidRPr="00F17CB7" w:rsidRDefault="007606C4" w:rsidP="00D87094">
      <w:pPr>
        <w:pStyle w:val="Default"/>
        <w:numPr>
          <w:ilvl w:val="0"/>
          <w:numId w:val="4"/>
        </w:numPr>
        <w:jc w:val="both"/>
        <w:rPr>
          <w:rFonts w:ascii="Times New Roman" w:hAnsi="Times New Roman" w:cs="Times New Roman"/>
          <w:b/>
          <w:color w:val="auto"/>
        </w:rPr>
      </w:pPr>
      <w:r w:rsidRPr="00F17CB7">
        <w:rPr>
          <w:rFonts w:ascii="Times New Roman" w:hAnsi="Times New Roman" w:cs="Times New Roman"/>
          <w:b/>
          <w:color w:val="auto"/>
        </w:rPr>
        <w:t>Uwagi Prezesa Urzędu Ochrony Danych Osobowych</w:t>
      </w:r>
    </w:p>
    <w:p w14:paraId="3E9CF00E" w14:textId="25B22327" w:rsidR="00896315" w:rsidRPr="00F17CB7" w:rsidRDefault="00896315" w:rsidP="00F17CB7">
      <w:pPr>
        <w:autoSpaceDE w:val="0"/>
        <w:autoSpaceDN w:val="0"/>
        <w:adjustRightInd w:val="0"/>
        <w:spacing w:after="0" w:line="240" w:lineRule="auto"/>
        <w:ind w:left="0" w:right="0" w:firstLine="0"/>
        <w:rPr>
          <w:rFonts w:ascii="Times New Roman" w:hAnsi="Times New Roman" w:cs="Times New Roman"/>
          <w:sz w:val="24"/>
          <w:szCs w:val="24"/>
        </w:rPr>
      </w:pPr>
    </w:p>
    <w:p w14:paraId="56FA43EF" w14:textId="67B40C55" w:rsidR="00E5680F" w:rsidRDefault="00E5680F" w:rsidP="00E5680F">
      <w:pPr>
        <w:autoSpaceDE w:val="0"/>
        <w:autoSpaceDN w:val="0"/>
        <w:adjustRightInd w:val="0"/>
        <w:spacing w:after="0" w:line="240" w:lineRule="auto"/>
        <w:ind w:left="0" w:right="0" w:firstLine="708"/>
        <w:rPr>
          <w:rFonts w:ascii="Times New Roman" w:hAnsi="Times New Roman" w:cs="Times New Roman"/>
          <w:sz w:val="24"/>
          <w:szCs w:val="24"/>
        </w:rPr>
      </w:pPr>
      <w:r>
        <w:rPr>
          <w:rFonts w:ascii="Times New Roman" w:hAnsi="Times New Roman" w:cs="Times New Roman"/>
          <w:sz w:val="24"/>
          <w:szCs w:val="24"/>
        </w:rPr>
        <w:t>Z</w:t>
      </w:r>
      <w:r w:rsidR="00896315" w:rsidRPr="00F17CB7">
        <w:rPr>
          <w:rFonts w:ascii="Times New Roman" w:hAnsi="Times New Roman" w:cs="Times New Roman"/>
          <w:sz w:val="24"/>
          <w:szCs w:val="24"/>
        </w:rPr>
        <w:t>głos</w:t>
      </w:r>
      <w:r>
        <w:rPr>
          <w:rFonts w:ascii="Times New Roman" w:hAnsi="Times New Roman" w:cs="Times New Roman"/>
          <w:sz w:val="24"/>
          <w:szCs w:val="24"/>
        </w:rPr>
        <w:t xml:space="preserve">zono </w:t>
      </w:r>
      <w:r w:rsidR="00896315" w:rsidRPr="00F17CB7">
        <w:rPr>
          <w:rFonts w:ascii="Times New Roman" w:hAnsi="Times New Roman" w:cs="Times New Roman"/>
          <w:sz w:val="24"/>
          <w:szCs w:val="24"/>
        </w:rPr>
        <w:t>uwagę do § 1 projektu rozporządzenia</w:t>
      </w:r>
      <w:r w:rsidR="00896315" w:rsidRPr="00F17CB7">
        <w:rPr>
          <w:rFonts w:ascii="Times New Roman" w:hAnsi="Times New Roman" w:cs="Times New Roman"/>
          <w:b/>
          <w:bCs/>
          <w:i/>
          <w:iCs/>
          <w:sz w:val="24"/>
          <w:szCs w:val="24"/>
        </w:rPr>
        <w:t xml:space="preserve"> </w:t>
      </w:r>
      <w:r w:rsidR="00896315" w:rsidRPr="00F17CB7">
        <w:rPr>
          <w:rFonts w:ascii="Times New Roman" w:hAnsi="Times New Roman" w:cs="Times New Roman"/>
          <w:sz w:val="24"/>
          <w:szCs w:val="24"/>
        </w:rPr>
        <w:t>wsk</w:t>
      </w:r>
      <w:r>
        <w:rPr>
          <w:rFonts w:ascii="Times New Roman" w:hAnsi="Times New Roman" w:cs="Times New Roman"/>
          <w:sz w:val="24"/>
          <w:szCs w:val="24"/>
        </w:rPr>
        <w:t>azując</w:t>
      </w:r>
      <w:r w:rsidR="00896315" w:rsidRPr="00F17CB7">
        <w:rPr>
          <w:rFonts w:ascii="Times New Roman" w:hAnsi="Times New Roman" w:cs="Times New Roman"/>
          <w:sz w:val="24"/>
          <w:szCs w:val="24"/>
        </w:rPr>
        <w:t xml:space="preserve">, </w:t>
      </w:r>
      <w:r>
        <w:rPr>
          <w:rFonts w:ascii="Times New Roman" w:hAnsi="Times New Roman" w:cs="Times New Roman"/>
          <w:sz w:val="24"/>
          <w:szCs w:val="24"/>
        </w:rPr>
        <w:t>że</w:t>
      </w:r>
      <w:r w:rsidR="00896315" w:rsidRPr="00F17CB7">
        <w:rPr>
          <w:rFonts w:ascii="Times New Roman" w:hAnsi="Times New Roman" w:cs="Times New Roman"/>
          <w:sz w:val="24"/>
          <w:szCs w:val="24"/>
        </w:rPr>
        <w:t xml:space="preserve"> istotne jest wzięcie pod uwagę, że system oprócz zapewnienia poufności, dostępności i integralności informacji, powinien uwzględniać również niezaprzeczalność danych identyfikacyjnych </w:t>
      </w:r>
      <w:r w:rsidR="004E4E08">
        <w:rPr>
          <w:rFonts w:ascii="Times New Roman" w:hAnsi="Times New Roman" w:cs="Times New Roman"/>
          <w:sz w:val="24"/>
          <w:szCs w:val="24"/>
        </w:rPr>
        <w:br/>
      </w:r>
      <w:r w:rsidR="00896315" w:rsidRPr="00F17CB7">
        <w:rPr>
          <w:rFonts w:ascii="Times New Roman" w:hAnsi="Times New Roman" w:cs="Times New Roman"/>
          <w:sz w:val="24"/>
          <w:szCs w:val="24"/>
        </w:rPr>
        <w:t xml:space="preserve">i uwierzytelniających użytkownika, co należy rozumieć jako brak możliwości zanegowania swego uczestnictwa w całości lub w części wymiany danych przez jeden z podmiotów uczestniczących w tej wymianie. </w:t>
      </w:r>
    </w:p>
    <w:p w14:paraId="5A0D18BD" w14:textId="40F156A5" w:rsidR="00E5680F" w:rsidRDefault="00E5680F" w:rsidP="00E5680F">
      <w:pPr>
        <w:autoSpaceDE w:val="0"/>
        <w:autoSpaceDN w:val="0"/>
        <w:adjustRightInd w:val="0"/>
        <w:spacing w:after="0" w:line="240" w:lineRule="auto"/>
        <w:ind w:left="11" w:firstLine="709"/>
        <w:rPr>
          <w:rFonts w:ascii="Times New Roman" w:hAnsi="Times New Roman" w:cs="Times New Roman"/>
          <w:sz w:val="24"/>
          <w:szCs w:val="24"/>
        </w:rPr>
      </w:pPr>
      <w:r>
        <w:rPr>
          <w:rFonts w:ascii="Times New Roman" w:hAnsi="Times New Roman" w:cs="Times New Roman"/>
          <w:sz w:val="24"/>
          <w:szCs w:val="24"/>
        </w:rPr>
        <w:t>W tym zakresie wyjaśniono, że z</w:t>
      </w:r>
      <w:r w:rsidRPr="00A7384F">
        <w:rPr>
          <w:rFonts w:ascii="Times New Roman" w:hAnsi="Times New Roman" w:cs="Times New Roman"/>
          <w:sz w:val="24"/>
          <w:szCs w:val="24"/>
        </w:rPr>
        <w:t xml:space="preserve">arówno w przypadku zbieżności użytkownika konta </w:t>
      </w:r>
      <w:r w:rsidR="004E4E08">
        <w:rPr>
          <w:rFonts w:ascii="Times New Roman" w:hAnsi="Times New Roman" w:cs="Times New Roman"/>
          <w:sz w:val="24"/>
          <w:szCs w:val="24"/>
        </w:rPr>
        <w:br/>
      </w:r>
      <w:r w:rsidRPr="00A7384F">
        <w:rPr>
          <w:rFonts w:ascii="Times New Roman" w:hAnsi="Times New Roman" w:cs="Times New Roman"/>
          <w:sz w:val="24"/>
          <w:szCs w:val="24"/>
        </w:rPr>
        <w:t xml:space="preserve">z osobą faktycznie wnoszącą pismo procesowe za pośrednictwem konta, jak też w przypadku rozbieżności w tym zakresie (kto inny jest użytkownikiem konta, a kto inny wnosi pismo </w:t>
      </w:r>
      <w:r w:rsidR="004E4E08">
        <w:rPr>
          <w:rFonts w:ascii="Times New Roman" w:hAnsi="Times New Roman" w:cs="Times New Roman"/>
          <w:sz w:val="24"/>
          <w:szCs w:val="24"/>
        </w:rPr>
        <w:br/>
      </w:r>
      <w:r w:rsidRPr="00A7384F">
        <w:rPr>
          <w:rFonts w:ascii="Times New Roman" w:hAnsi="Times New Roman" w:cs="Times New Roman"/>
          <w:sz w:val="24"/>
          <w:szCs w:val="24"/>
        </w:rPr>
        <w:t>z konta danego użytkownika) nie ma możliwości zanegowania</w:t>
      </w:r>
      <w:r>
        <w:rPr>
          <w:rFonts w:ascii="Times New Roman" w:hAnsi="Times New Roman" w:cs="Times New Roman"/>
          <w:sz w:val="24"/>
          <w:szCs w:val="24"/>
        </w:rPr>
        <w:t>/podważenia</w:t>
      </w:r>
      <w:r w:rsidRPr="00A7384F">
        <w:rPr>
          <w:rFonts w:ascii="Times New Roman" w:hAnsi="Times New Roman" w:cs="Times New Roman"/>
          <w:sz w:val="24"/>
          <w:szCs w:val="24"/>
        </w:rPr>
        <w:t xml:space="preserve"> uczestnictwa </w:t>
      </w:r>
      <w:r w:rsidR="004E4E08">
        <w:rPr>
          <w:rFonts w:ascii="Times New Roman" w:hAnsi="Times New Roman" w:cs="Times New Roman"/>
          <w:sz w:val="24"/>
          <w:szCs w:val="24"/>
        </w:rPr>
        <w:br/>
      </w:r>
      <w:r w:rsidRPr="00A7384F">
        <w:rPr>
          <w:rFonts w:ascii="Times New Roman" w:hAnsi="Times New Roman" w:cs="Times New Roman"/>
          <w:sz w:val="24"/>
          <w:szCs w:val="24"/>
        </w:rPr>
        <w:t xml:space="preserve">w całości lub części wymiany danych. Konto służy jedynie jako kanał komunikacji pomiędzy </w:t>
      </w:r>
      <w:r>
        <w:rPr>
          <w:rFonts w:ascii="Times New Roman" w:hAnsi="Times New Roman" w:cs="Times New Roman"/>
          <w:sz w:val="24"/>
          <w:szCs w:val="24"/>
        </w:rPr>
        <w:t>wnioskodawcą/</w:t>
      </w:r>
      <w:r w:rsidRPr="00A7384F">
        <w:rPr>
          <w:rFonts w:ascii="Times New Roman" w:hAnsi="Times New Roman" w:cs="Times New Roman"/>
          <w:sz w:val="24"/>
          <w:szCs w:val="24"/>
        </w:rPr>
        <w:t>uczestnikiem</w:t>
      </w:r>
      <w:r>
        <w:rPr>
          <w:rFonts w:ascii="Times New Roman" w:hAnsi="Times New Roman" w:cs="Times New Roman"/>
          <w:sz w:val="24"/>
          <w:szCs w:val="24"/>
        </w:rPr>
        <w:t xml:space="preserve"> postępowania</w:t>
      </w:r>
      <w:r w:rsidRPr="00A7384F">
        <w:rPr>
          <w:rFonts w:ascii="Times New Roman" w:hAnsi="Times New Roman" w:cs="Times New Roman"/>
          <w:sz w:val="24"/>
          <w:szCs w:val="24"/>
        </w:rPr>
        <w:t xml:space="preserve"> a sądem</w:t>
      </w:r>
      <w:r>
        <w:rPr>
          <w:rFonts w:ascii="Times New Roman" w:hAnsi="Times New Roman" w:cs="Times New Roman"/>
          <w:sz w:val="24"/>
          <w:szCs w:val="24"/>
        </w:rPr>
        <w:t xml:space="preserve">. Dokumenty, które są </w:t>
      </w:r>
      <w:r w:rsidRPr="00A7384F">
        <w:rPr>
          <w:rFonts w:ascii="Times New Roman" w:hAnsi="Times New Roman" w:cs="Times New Roman"/>
          <w:sz w:val="24"/>
          <w:szCs w:val="24"/>
        </w:rPr>
        <w:t xml:space="preserve">z konta wysyłane do sądu, opatrzone </w:t>
      </w:r>
      <w:r>
        <w:rPr>
          <w:rFonts w:ascii="Times New Roman" w:hAnsi="Times New Roman" w:cs="Times New Roman"/>
          <w:sz w:val="24"/>
          <w:szCs w:val="24"/>
        </w:rPr>
        <w:t xml:space="preserve">są </w:t>
      </w:r>
      <w:r w:rsidRPr="00A7384F">
        <w:rPr>
          <w:rFonts w:ascii="Times New Roman" w:hAnsi="Times New Roman" w:cs="Times New Roman"/>
          <w:sz w:val="24"/>
          <w:szCs w:val="24"/>
        </w:rPr>
        <w:t xml:space="preserve">już podpisami elektronicznymi konkretnych osób, </w:t>
      </w:r>
      <w:r>
        <w:rPr>
          <w:rFonts w:ascii="Times New Roman" w:hAnsi="Times New Roman" w:cs="Times New Roman"/>
          <w:sz w:val="24"/>
          <w:szCs w:val="24"/>
        </w:rPr>
        <w:t xml:space="preserve">których dopiero ewentualna prawidłowość </w:t>
      </w:r>
      <w:r w:rsidRPr="00A7384F">
        <w:rPr>
          <w:rFonts w:ascii="Times New Roman" w:hAnsi="Times New Roman" w:cs="Times New Roman"/>
          <w:sz w:val="24"/>
          <w:szCs w:val="24"/>
        </w:rPr>
        <w:t>podlega ocenie sądu.</w:t>
      </w:r>
      <w:r>
        <w:rPr>
          <w:rFonts w:ascii="Times New Roman" w:hAnsi="Times New Roman" w:cs="Times New Roman"/>
          <w:sz w:val="24"/>
          <w:szCs w:val="24"/>
        </w:rPr>
        <w:t xml:space="preserve"> </w:t>
      </w:r>
      <w:r w:rsidRPr="00A7384F">
        <w:rPr>
          <w:rFonts w:ascii="Times New Roman" w:hAnsi="Times New Roman" w:cs="Times New Roman"/>
          <w:sz w:val="24"/>
          <w:szCs w:val="24"/>
        </w:rPr>
        <w:t xml:space="preserve">Dane samego użytkownika konta są zawarte wśród danych przypisanych do tego konta (choćby nie on wnosił pismo/podpisywał je), natomiast dane osoby podpisującej poszczególne pisma zawarte są </w:t>
      </w:r>
      <w:r w:rsidRPr="00DE546C">
        <w:rPr>
          <w:rFonts w:ascii="Times New Roman" w:hAnsi="Times New Roman" w:cs="Times New Roman"/>
          <w:sz w:val="24"/>
          <w:szCs w:val="24"/>
        </w:rPr>
        <w:t xml:space="preserve">w podpisie elektronicznym. Nie ma </w:t>
      </w:r>
      <w:r>
        <w:rPr>
          <w:rFonts w:ascii="Times New Roman" w:hAnsi="Times New Roman" w:cs="Times New Roman"/>
          <w:sz w:val="24"/>
          <w:szCs w:val="24"/>
        </w:rPr>
        <w:t xml:space="preserve">zatem zagrożenia co do </w:t>
      </w:r>
      <w:r w:rsidRPr="00DE546C">
        <w:rPr>
          <w:rFonts w:ascii="Times New Roman" w:hAnsi="Times New Roman" w:cs="Times New Roman"/>
          <w:sz w:val="24"/>
          <w:szCs w:val="24"/>
        </w:rPr>
        <w:t>możliwości negowania</w:t>
      </w:r>
      <w:r>
        <w:rPr>
          <w:rFonts w:ascii="Times New Roman" w:hAnsi="Times New Roman" w:cs="Times New Roman"/>
          <w:sz w:val="24"/>
          <w:szCs w:val="24"/>
        </w:rPr>
        <w:t>/podważania</w:t>
      </w:r>
      <w:r w:rsidRPr="00DE546C">
        <w:rPr>
          <w:rFonts w:ascii="Times New Roman" w:hAnsi="Times New Roman" w:cs="Times New Roman"/>
          <w:sz w:val="24"/>
          <w:szCs w:val="24"/>
        </w:rPr>
        <w:t xml:space="preserve"> uczestnictwa przez którykolwiek z </w:t>
      </w:r>
      <w:r>
        <w:rPr>
          <w:rFonts w:ascii="Times New Roman" w:hAnsi="Times New Roman" w:cs="Times New Roman"/>
          <w:sz w:val="24"/>
          <w:szCs w:val="24"/>
        </w:rPr>
        <w:t>podmiotów w faktycznym przekazaniu konkretnego dokumentu do sądu</w:t>
      </w:r>
      <w:r w:rsidRPr="00DE546C">
        <w:rPr>
          <w:rFonts w:ascii="Times New Roman" w:hAnsi="Times New Roman" w:cs="Times New Roman"/>
          <w:sz w:val="24"/>
          <w:szCs w:val="24"/>
        </w:rPr>
        <w:t xml:space="preserve">. </w:t>
      </w:r>
      <w:r>
        <w:rPr>
          <w:rFonts w:ascii="Times New Roman" w:hAnsi="Times New Roman" w:cs="Times New Roman"/>
          <w:sz w:val="24"/>
          <w:szCs w:val="24"/>
        </w:rPr>
        <w:t xml:space="preserve">Istotą jest tu faktycznie </w:t>
      </w:r>
      <w:r w:rsidRPr="00DE546C">
        <w:rPr>
          <w:rFonts w:ascii="Times New Roman" w:hAnsi="Times New Roman" w:cs="Times New Roman"/>
          <w:sz w:val="24"/>
          <w:szCs w:val="24"/>
        </w:rPr>
        <w:t>to, kto podpisał dane pismo, a nie z czyjego konta pismo zostało do sądu wniesione.</w:t>
      </w:r>
    </w:p>
    <w:p w14:paraId="0773258F" w14:textId="77777777" w:rsidR="002878FB" w:rsidRDefault="002878FB" w:rsidP="00E5680F">
      <w:pPr>
        <w:autoSpaceDE w:val="0"/>
        <w:autoSpaceDN w:val="0"/>
        <w:adjustRightInd w:val="0"/>
        <w:spacing w:after="0" w:line="240" w:lineRule="auto"/>
        <w:ind w:left="11" w:firstLine="709"/>
        <w:rPr>
          <w:rFonts w:ascii="Times New Roman" w:hAnsi="Times New Roman" w:cs="Times New Roman"/>
          <w:sz w:val="24"/>
          <w:szCs w:val="24"/>
        </w:rPr>
      </w:pPr>
    </w:p>
    <w:p w14:paraId="5508AF16" w14:textId="79630E88" w:rsidR="00E5680F" w:rsidRPr="002878FB" w:rsidRDefault="00E5680F" w:rsidP="002878FB">
      <w:pPr>
        <w:autoSpaceDE w:val="0"/>
        <w:autoSpaceDN w:val="0"/>
        <w:adjustRightInd w:val="0"/>
        <w:spacing w:after="0" w:line="240" w:lineRule="auto"/>
        <w:ind w:left="0" w:firstLine="0"/>
        <w:rPr>
          <w:rFonts w:ascii="Times New Roman" w:hAnsi="Times New Roman" w:cs="Times New Roman"/>
          <w:sz w:val="24"/>
          <w:szCs w:val="24"/>
        </w:rPr>
      </w:pPr>
      <w:r>
        <w:rPr>
          <w:rFonts w:ascii="Times New Roman" w:hAnsi="Times New Roman" w:cs="Times New Roman"/>
          <w:sz w:val="24"/>
          <w:szCs w:val="24"/>
        </w:rPr>
        <w:lastRenderedPageBreak/>
        <w:tab/>
      </w:r>
      <w:r w:rsidR="002878FB">
        <w:rPr>
          <w:rFonts w:ascii="Times New Roman" w:hAnsi="Times New Roman" w:cs="Times New Roman"/>
          <w:sz w:val="24"/>
          <w:szCs w:val="24"/>
        </w:rPr>
        <w:t>Poza tym, z</w:t>
      </w:r>
      <w:r w:rsidRPr="002878FB">
        <w:rPr>
          <w:rFonts w:ascii="Times New Roman" w:hAnsi="Times New Roman" w:cs="Times New Roman"/>
          <w:sz w:val="24"/>
          <w:szCs w:val="24"/>
        </w:rPr>
        <w:t xml:space="preserve">daniem </w:t>
      </w:r>
      <w:r w:rsidR="002878FB">
        <w:rPr>
          <w:rFonts w:ascii="Times New Roman" w:hAnsi="Times New Roman" w:cs="Times New Roman"/>
          <w:sz w:val="24"/>
          <w:szCs w:val="24"/>
        </w:rPr>
        <w:t>O</w:t>
      </w:r>
      <w:r w:rsidRPr="002878FB">
        <w:rPr>
          <w:rFonts w:ascii="Times New Roman" w:hAnsi="Times New Roman" w:cs="Times New Roman"/>
          <w:sz w:val="24"/>
          <w:szCs w:val="24"/>
        </w:rPr>
        <w:t>piniującego</w:t>
      </w:r>
      <w:r w:rsidR="002878FB">
        <w:rPr>
          <w:rFonts w:ascii="Times New Roman" w:hAnsi="Times New Roman" w:cs="Times New Roman"/>
          <w:sz w:val="24"/>
          <w:szCs w:val="24"/>
        </w:rPr>
        <w:t>,</w:t>
      </w:r>
      <w:r w:rsidRPr="002878FB">
        <w:rPr>
          <w:rFonts w:ascii="Times New Roman" w:hAnsi="Times New Roman" w:cs="Times New Roman"/>
          <w:sz w:val="24"/>
          <w:szCs w:val="24"/>
        </w:rPr>
        <w:t xml:space="preserve"> § 5b ust. 2 lit b (tzw. tryb S24) nieprawidłowo przewiduje obowiązek podawania danych osobowych innych osób mających wspólnie podpisać pismo.</w:t>
      </w:r>
    </w:p>
    <w:p w14:paraId="15D40489" w14:textId="77777777" w:rsidR="002878FB" w:rsidRDefault="00E5680F" w:rsidP="002878FB">
      <w:pPr>
        <w:autoSpaceDE w:val="0"/>
        <w:autoSpaceDN w:val="0"/>
        <w:adjustRightInd w:val="0"/>
        <w:spacing w:after="0" w:line="240" w:lineRule="auto"/>
        <w:ind w:left="0" w:firstLine="708"/>
        <w:rPr>
          <w:rFonts w:ascii="Times New Roman" w:hAnsi="Times New Roman" w:cs="Times New Roman"/>
          <w:sz w:val="24"/>
          <w:szCs w:val="24"/>
        </w:rPr>
      </w:pPr>
      <w:r w:rsidRPr="002878FB">
        <w:rPr>
          <w:rFonts w:ascii="Times New Roman" w:hAnsi="Times New Roman" w:cs="Times New Roman"/>
          <w:sz w:val="24"/>
          <w:szCs w:val="24"/>
        </w:rPr>
        <w:t xml:space="preserve">W tym zakresie wyjaśniono, że projektowane przepisy takiego obowiązku nie zawierają. </w:t>
      </w:r>
    </w:p>
    <w:p w14:paraId="10A99260" w14:textId="113EC6E5" w:rsidR="00E5680F" w:rsidRPr="002878FB" w:rsidRDefault="00E5680F" w:rsidP="002878FB">
      <w:pPr>
        <w:autoSpaceDE w:val="0"/>
        <w:autoSpaceDN w:val="0"/>
        <w:adjustRightInd w:val="0"/>
        <w:spacing w:after="0" w:line="240" w:lineRule="auto"/>
        <w:ind w:left="0" w:firstLine="708"/>
        <w:rPr>
          <w:rFonts w:ascii="Times New Roman" w:hAnsi="Times New Roman" w:cs="Times New Roman"/>
          <w:sz w:val="24"/>
          <w:szCs w:val="24"/>
        </w:rPr>
      </w:pPr>
      <w:r w:rsidRPr="002878FB">
        <w:rPr>
          <w:rFonts w:ascii="Times New Roman" w:hAnsi="Times New Roman" w:cs="Times New Roman"/>
          <w:sz w:val="24"/>
          <w:szCs w:val="24"/>
        </w:rPr>
        <w:t xml:space="preserve">Wskazano również, że podniesione zastrzeżenia dotyczą faktycznie przepisów już obowiązujących oraz funkcjonalności systemu teleinformatycznego obsługującego postępowanie sądowe, które istnieją od 2012 r. Od 1 lipca 2021 r. zostaną one jedynie przeniesione z jednego rozporządzenia do drugiego. Tym samym nie zachodzi potrzeba szczegółowego opisywania krok po kroku zasad regulujących tę kwestię, a jedynie </w:t>
      </w:r>
      <w:r w:rsidR="00E05B09">
        <w:rPr>
          <w:rFonts w:ascii="Times New Roman" w:hAnsi="Times New Roman" w:cs="Times New Roman"/>
          <w:sz w:val="24"/>
          <w:szCs w:val="24"/>
        </w:rPr>
        <w:br/>
      </w:r>
      <w:r w:rsidRPr="002878FB">
        <w:rPr>
          <w:rFonts w:ascii="Times New Roman" w:hAnsi="Times New Roman" w:cs="Times New Roman"/>
          <w:sz w:val="24"/>
          <w:szCs w:val="24"/>
        </w:rPr>
        <w:t xml:space="preserve">w uzasadnieniu wyraźnie wskazano, że </w:t>
      </w:r>
      <w:r w:rsidRPr="002878FB">
        <w:rPr>
          <w:rFonts w:ascii="Times New Roman" w:hAnsi="Times New Roman" w:cs="Times New Roman"/>
          <w:i/>
          <w:iCs/>
          <w:sz w:val="24"/>
          <w:szCs w:val="24"/>
        </w:rPr>
        <w:t xml:space="preserve">Regulacja ta </w:t>
      </w:r>
      <w:r w:rsidRPr="002878FB">
        <w:rPr>
          <w:rFonts w:ascii="Times New Roman" w:hAnsi="Times New Roman" w:cs="Times New Roman"/>
          <w:sz w:val="24"/>
          <w:szCs w:val="24"/>
        </w:rPr>
        <w:t>(dot. § 5b)</w:t>
      </w:r>
      <w:r w:rsidRPr="002878FB">
        <w:rPr>
          <w:rFonts w:ascii="Times New Roman" w:hAnsi="Times New Roman" w:cs="Times New Roman"/>
          <w:i/>
          <w:iCs/>
          <w:sz w:val="24"/>
          <w:szCs w:val="24"/>
        </w:rPr>
        <w:t xml:space="preserve"> została przeniesiona </w:t>
      </w:r>
      <w:r w:rsidR="00E05B09">
        <w:rPr>
          <w:rFonts w:ascii="Times New Roman" w:hAnsi="Times New Roman" w:cs="Times New Roman"/>
          <w:i/>
          <w:iCs/>
          <w:sz w:val="24"/>
          <w:szCs w:val="24"/>
        </w:rPr>
        <w:br/>
      </w:r>
      <w:r w:rsidRPr="002878FB">
        <w:rPr>
          <w:rFonts w:ascii="Times New Roman" w:hAnsi="Times New Roman" w:cs="Times New Roman"/>
          <w:i/>
          <w:iCs/>
          <w:sz w:val="24"/>
          <w:szCs w:val="24"/>
        </w:rPr>
        <w:t>z dotychczasowego rozporządzenia Ministra Sprawiedliwości z dnia 13 stycznia 2015 r. w sprawie sposobu i trybu składania wniosków o wpis do Krajowego Rejestru Sądowego dotyczących spółek, których umowę zawarto przy wykorzystaniu wzorca umowy spółki udostępnionego w systemie teleinformatycznym</w:t>
      </w:r>
      <w:r w:rsidRPr="002878FB">
        <w:rPr>
          <w:rFonts w:ascii="Times New Roman" w:hAnsi="Times New Roman" w:cs="Times New Roman"/>
          <w:sz w:val="24"/>
          <w:szCs w:val="24"/>
        </w:rPr>
        <w:t xml:space="preserve">. Przy czym przeniesieniu temu nie towarzyszy żadna zmiana legislacyjna ani funkcjonalna w samym systemie teleinformatycznym (zmieniła się jedynie lokalizacja przepisów regulujących składanie wniosków o wpis do KRS w tzw. trybie S24). </w:t>
      </w:r>
    </w:p>
    <w:p w14:paraId="54612E23" w14:textId="2248B25D" w:rsidR="00E5680F" w:rsidRPr="002878FB" w:rsidRDefault="002878FB" w:rsidP="002878FB">
      <w:pPr>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 xml:space="preserve">Nadto </w:t>
      </w:r>
      <w:r w:rsidR="00E5680F" w:rsidRPr="002878FB">
        <w:rPr>
          <w:rFonts w:ascii="Times New Roman" w:hAnsi="Times New Roman" w:cs="Times New Roman"/>
          <w:sz w:val="24"/>
          <w:szCs w:val="24"/>
        </w:rPr>
        <w:t>wyjaś</w:t>
      </w:r>
      <w:r>
        <w:rPr>
          <w:rFonts w:ascii="Times New Roman" w:hAnsi="Times New Roman" w:cs="Times New Roman"/>
          <w:sz w:val="24"/>
          <w:szCs w:val="24"/>
        </w:rPr>
        <w:t>niono</w:t>
      </w:r>
      <w:r w:rsidR="00E5680F" w:rsidRPr="002878FB">
        <w:rPr>
          <w:rFonts w:ascii="Times New Roman" w:hAnsi="Times New Roman" w:cs="Times New Roman"/>
          <w:sz w:val="24"/>
          <w:szCs w:val="24"/>
        </w:rPr>
        <w:t>, że system teleinformatyczny obsługujący postępowanie sądowe jest zbudowany w taki sposób, że „</w:t>
      </w:r>
      <w:r w:rsidR="00E5680F" w:rsidRPr="002878FB">
        <w:rPr>
          <w:rFonts w:ascii="Times New Roman" w:hAnsi="Times New Roman" w:cs="Times New Roman"/>
          <w:i/>
          <w:iCs/>
          <w:sz w:val="24"/>
          <w:szCs w:val="24"/>
        </w:rPr>
        <w:t>wskazanie innych osób mających podpisać wniosek</w:t>
      </w:r>
      <w:r w:rsidR="00E5680F" w:rsidRPr="002878FB">
        <w:rPr>
          <w:rFonts w:ascii="Times New Roman" w:hAnsi="Times New Roman" w:cs="Times New Roman"/>
          <w:sz w:val="24"/>
          <w:szCs w:val="24"/>
        </w:rPr>
        <w:t>” nie polega na podawaniu danych osobowych, wskazaniu kogoś z imienia, nazwiska, numeru PESEL, czy ujawnieniu jego innych danych osobowych, lecz polega na udostępnieniu profilu danej spółki innej osobie poprzez podanie identyfikatora użytkownika konta, na którym ta osoba będzie składać swój podpis. Ta inna osoba mająca podpisać wniosek, na koncie, na którym udostępniono w powyższy sposób profil spółki, widzi wszystkie dokumenty, które zostały dla niej wytworzone, m.in. te, które wymagają podpisu tej osoby.</w:t>
      </w:r>
    </w:p>
    <w:p w14:paraId="2F33C85F" w14:textId="77777777" w:rsidR="00E5680F" w:rsidRPr="00F17CB7" w:rsidRDefault="00E5680F" w:rsidP="00F17CB7">
      <w:pPr>
        <w:autoSpaceDE w:val="0"/>
        <w:autoSpaceDN w:val="0"/>
        <w:adjustRightInd w:val="0"/>
        <w:spacing w:after="0" w:line="240" w:lineRule="auto"/>
        <w:ind w:left="0" w:right="0" w:firstLine="708"/>
        <w:rPr>
          <w:rFonts w:ascii="Times New Roman" w:hAnsi="Times New Roman" w:cs="Times New Roman"/>
          <w:sz w:val="24"/>
          <w:szCs w:val="24"/>
        </w:rPr>
      </w:pPr>
    </w:p>
    <w:p w14:paraId="444DCF93" w14:textId="77777777" w:rsidR="007606C4" w:rsidRPr="00F17CB7" w:rsidRDefault="007606C4" w:rsidP="00F17CB7">
      <w:pPr>
        <w:pStyle w:val="Default"/>
        <w:jc w:val="both"/>
        <w:rPr>
          <w:rFonts w:ascii="Times New Roman" w:hAnsi="Times New Roman" w:cs="Times New Roman"/>
          <w:bCs/>
          <w:color w:val="auto"/>
        </w:rPr>
      </w:pPr>
    </w:p>
    <w:p w14:paraId="1C5AC48D" w14:textId="6CF2BE81" w:rsidR="009E52A9" w:rsidRDefault="009E52A9" w:rsidP="00D87094">
      <w:pPr>
        <w:pStyle w:val="Default"/>
        <w:numPr>
          <w:ilvl w:val="0"/>
          <w:numId w:val="4"/>
        </w:numPr>
        <w:jc w:val="both"/>
        <w:rPr>
          <w:rFonts w:ascii="Times New Roman" w:hAnsi="Times New Roman" w:cs="Times New Roman"/>
          <w:b/>
          <w:color w:val="auto"/>
        </w:rPr>
      </w:pPr>
      <w:r w:rsidRPr="00F17CB7">
        <w:rPr>
          <w:rFonts w:ascii="Times New Roman" w:hAnsi="Times New Roman" w:cs="Times New Roman"/>
          <w:b/>
          <w:color w:val="auto"/>
        </w:rPr>
        <w:t>Uwagi Oddziału Informatycznego Centrum Kompetencji i Informatyzacji Sądownictwa w Sądzie Apelacyjnym we Wrocławiu</w:t>
      </w:r>
    </w:p>
    <w:p w14:paraId="09BF5AAA" w14:textId="0D05F078" w:rsidR="002878FB" w:rsidRDefault="002878FB" w:rsidP="00F17CB7">
      <w:pPr>
        <w:pStyle w:val="Default"/>
        <w:jc w:val="both"/>
        <w:rPr>
          <w:rFonts w:ascii="Times New Roman" w:hAnsi="Times New Roman" w:cs="Times New Roman"/>
          <w:b/>
          <w:color w:val="auto"/>
        </w:rPr>
      </w:pPr>
    </w:p>
    <w:p w14:paraId="37E6F4B9" w14:textId="77777777" w:rsidR="002878FB" w:rsidRPr="00F17CB7" w:rsidRDefault="002878FB" w:rsidP="00F17CB7">
      <w:pPr>
        <w:pStyle w:val="Default"/>
        <w:jc w:val="both"/>
        <w:rPr>
          <w:rFonts w:ascii="Times New Roman" w:hAnsi="Times New Roman" w:cs="Times New Roman"/>
          <w:bCs/>
          <w:color w:val="auto"/>
        </w:rPr>
      </w:pPr>
    </w:p>
    <w:p w14:paraId="324741D6" w14:textId="191F7404" w:rsidR="002878FB" w:rsidRDefault="002878FB" w:rsidP="00FC005B">
      <w:pPr>
        <w:spacing w:after="0" w:line="240" w:lineRule="auto"/>
        <w:ind w:left="11" w:firstLine="697"/>
        <w:rPr>
          <w:rFonts w:ascii="Times New Roman" w:hAnsi="Times New Roman"/>
          <w:sz w:val="24"/>
          <w:szCs w:val="24"/>
        </w:rPr>
      </w:pPr>
      <w:r>
        <w:rPr>
          <w:rFonts w:ascii="Times New Roman" w:hAnsi="Times New Roman"/>
          <w:sz w:val="24"/>
          <w:szCs w:val="24"/>
        </w:rPr>
        <w:t xml:space="preserve">Opiniujący wskazał na </w:t>
      </w:r>
      <w:r w:rsidRPr="000C36A5">
        <w:rPr>
          <w:rFonts w:ascii="Times New Roman" w:hAnsi="Times New Roman"/>
          <w:sz w:val="24"/>
          <w:szCs w:val="24"/>
        </w:rPr>
        <w:t xml:space="preserve">brak potrzeby definiowania w </w:t>
      </w:r>
      <w:r>
        <w:rPr>
          <w:rFonts w:ascii="Times New Roman" w:hAnsi="Times New Roman"/>
          <w:sz w:val="24"/>
          <w:szCs w:val="24"/>
        </w:rPr>
        <w:t xml:space="preserve">zmienianym </w:t>
      </w:r>
      <w:r w:rsidRPr="000C36A5">
        <w:rPr>
          <w:rFonts w:ascii="Times New Roman" w:hAnsi="Times New Roman"/>
          <w:sz w:val="24"/>
          <w:szCs w:val="24"/>
        </w:rPr>
        <w:t>rozporządzeniu pojęcia „</w:t>
      </w:r>
      <w:r w:rsidRPr="000C36A5">
        <w:rPr>
          <w:rFonts w:ascii="Times New Roman" w:hAnsi="Times New Roman"/>
          <w:i/>
          <w:iCs/>
          <w:sz w:val="24"/>
          <w:szCs w:val="24"/>
        </w:rPr>
        <w:t>podpis</w:t>
      </w:r>
      <w:r>
        <w:rPr>
          <w:rFonts w:ascii="Times New Roman" w:hAnsi="Times New Roman"/>
          <w:i/>
          <w:iCs/>
          <w:sz w:val="24"/>
          <w:szCs w:val="24"/>
        </w:rPr>
        <w:t>u</w:t>
      </w:r>
      <w:r w:rsidRPr="000C36A5">
        <w:rPr>
          <w:rFonts w:ascii="Times New Roman" w:hAnsi="Times New Roman"/>
          <w:i/>
          <w:iCs/>
          <w:sz w:val="24"/>
          <w:szCs w:val="24"/>
        </w:rPr>
        <w:t xml:space="preserve"> elektroniczn</w:t>
      </w:r>
      <w:r>
        <w:rPr>
          <w:rFonts w:ascii="Times New Roman" w:hAnsi="Times New Roman"/>
          <w:i/>
          <w:iCs/>
          <w:sz w:val="24"/>
          <w:szCs w:val="24"/>
        </w:rPr>
        <w:t>ego</w:t>
      </w:r>
      <w:r w:rsidRPr="000C36A5">
        <w:rPr>
          <w:rFonts w:ascii="Times New Roman" w:hAnsi="Times New Roman"/>
          <w:sz w:val="24"/>
          <w:szCs w:val="24"/>
        </w:rPr>
        <w:t>”.</w:t>
      </w:r>
    </w:p>
    <w:p w14:paraId="6CA1DFBB" w14:textId="2835FBDD" w:rsidR="00FC005B" w:rsidRDefault="002878FB" w:rsidP="00FC005B">
      <w:pPr>
        <w:spacing w:after="0" w:line="240" w:lineRule="auto"/>
        <w:ind w:left="11" w:firstLine="697"/>
        <w:rPr>
          <w:rFonts w:ascii="Times New Roman" w:hAnsi="Times New Roman" w:cs="Times New Roman"/>
          <w:sz w:val="24"/>
          <w:szCs w:val="24"/>
        </w:rPr>
      </w:pPr>
      <w:r>
        <w:rPr>
          <w:rFonts w:ascii="Times New Roman" w:hAnsi="Times New Roman"/>
          <w:sz w:val="24"/>
          <w:szCs w:val="24"/>
        </w:rPr>
        <w:t xml:space="preserve">Uwagi tej </w:t>
      </w:r>
      <w:r w:rsidR="006E5AEB">
        <w:rPr>
          <w:rFonts w:ascii="Times New Roman" w:hAnsi="Times New Roman"/>
          <w:sz w:val="24"/>
          <w:szCs w:val="24"/>
        </w:rPr>
        <w:t xml:space="preserve">początkowo </w:t>
      </w:r>
      <w:r>
        <w:rPr>
          <w:rFonts w:ascii="Times New Roman" w:hAnsi="Times New Roman"/>
          <w:sz w:val="24"/>
          <w:szCs w:val="24"/>
        </w:rPr>
        <w:t>nie uwzględniono. Wyjaśniono, że w obecnym brzmieniu na gruncie zmienianego rozporządzenia</w:t>
      </w:r>
      <w:r w:rsidRPr="00CD5F4C">
        <w:rPr>
          <w:rFonts w:ascii="Times New Roman" w:hAnsi="Times New Roman"/>
          <w:sz w:val="24"/>
          <w:szCs w:val="24"/>
        </w:rPr>
        <w:t xml:space="preserve"> „</w:t>
      </w:r>
      <w:r w:rsidRPr="00CD5F4C">
        <w:rPr>
          <w:rFonts w:ascii="Times New Roman" w:hAnsi="Times New Roman"/>
          <w:i/>
          <w:iCs/>
          <w:sz w:val="24"/>
          <w:szCs w:val="24"/>
        </w:rPr>
        <w:t>podpis elektroniczn</w:t>
      </w:r>
      <w:r>
        <w:rPr>
          <w:rFonts w:ascii="Times New Roman" w:hAnsi="Times New Roman"/>
          <w:i/>
          <w:iCs/>
          <w:sz w:val="24"/>
          <w:szCs w:val="24"/>
        </w:rPr>
        <w:t>y</w:t>
      </w:r>
      <w:r w:rsidRPr="00CD5F4C">
        <w:rPr>
          <w:rFonts w:ascii="Times New Roman" w:hAnsi="Times New Roman"/>
          <w:sz w:val="24"/>
          <w:szCs w:val="24"/>
        </w:rPr>
        <w:t>”</w:t>
      </w:r>
      <w:r>
        <w:rPr>
          <w:rFonts w:ascii="Times New Roman" w:hAnsi="Times New Roman"/>
          <w:sz w:val="24"/>
          <w:szCs w:val="24"/>
        </w:rPr>
        <w:t xml:space="preserve"> r</w:t>
      </w:r>
      <w:r w:rsidRPr="00CD5F4C">
        <w:rPr>
          <w:rFonts w:ascii="Times New Roman" w:hAnsi="Times New Roman"/>
          <w:sz w:val="24"/>
          <w:szCs w:val="24"/>
        </w:rPr>
        <w:t>ozumian</w:t>
      </w:r>
      <w:r>
        <w:rPr>
          <w:rFonts w:ascii="Times New Roman" w:hAnsi="Times New Roman"/>
          <w:sz w:val="24"/>
          <w:szCs w:val="24"/>
        </w:rPr>
        <w:t>y jest</w:t>
      </w:r>
      <w:r w:rsidRPr="00CD5F4C">
        <w:rPr>
          <w:rFonts w:ascii="Times New Roman" w:hAnsi="Times New Roman"/>
          <w:sz w:val="24"/>
          <w:szCs w:val="24"/>
        </w:rPr>
        <w:t xml:space="preserve"> jako</w:t>
      </w:r>
      <w:r w:rsidRPr="00CD5F4C">
        <w:rPr>
          <w:rFonts w:ascii="Times New Roman" w:eastAsia="Times New Roman" w:hAnsi="Times New Roman"/>
          <w:sz w:val="24"/>
          <w:szCs w:val="24"/>
        </w:rPr>
        <w:t xml:space="preserve"> </w:t>
      </w:r>
      <w:r w:rsidRPr="00E82BF7">
        <w:rPr>
          <w:rFonts w:ascii="Times New Roman" w:eastAsia="Times New Roman" w:hAnsi="Times New Roman"/>
          <w:i/>
          <w:iCs/>
          <w:sz w:val="24"/>
          <w:szCs w:val="24"/>
        </w:rPr>
        <w:t xml:space="preserve">„podpis elektroniczny wymagany dla danego pisma w przepisach </w:t>
      </w:r>
      <w:bookmarkStart w:id="1" w:name="#hiperlinkText.rpc?hiperlink=type=tresc:"/>
      <w:r w:rsidRPr="00E82BF7">
        <w:rPr>
          <w:rFonts w:ascii="Times New Roman" w:eastAsia="Times New Roman" w:hAnsi="Times New Roman"/>
          <w:i/>
          <w:iCs/>
          <w:sz w:val="24"/>
          <w:szCs w:val="24"/>
        </w:rPr>
        <w:t>ustawy</w:t>
      </w:r>
      <w:bookmarkEnd w:id="1"/>
      <w:r w:rsidRPr="00E82BF7">
        <w:rPr>
          <w:rFonts w:ascii="Times New Roman" w:eastAsia="Times New Roman" w:hAnsi="Times New Roman"/>
          <w:i/>
          <w:iCs/>
          <w:sz w:val="24"/>
          <w:szCs w:val="24"/>
        </w:rPr>
        <w:t xml:space="preserve"> z dnia 17 listopada 1964 r. – Kodeks postępowania cywilnego”</w:t>
      </w:r>
      <w:r w:rsidRPr="00E82BF7">
        <w:rPr>
          <w:rFonts w:ascii="Times New Roman" w:eastAsia="Times New Roman" w:hAnsi="Times New Roman"/>
          <w:sz w:val="24"/>
          <w:szCs w:val="24"/>
        </w:rPr>
        <w:t>.</w:t>
      </w:r>
      <w:r>
        <w:rPr>
          <w:rFonts w:ascii="Times New Roman" w:hAnsi="Times New Roman"/>
          <w:sz w:val="24"/>
          <w:szCs w:val="24"/>
        </w:rPr>
        <w:t xml:space="preserve"> </w:t>
      </w:r>
      <w:r w:rsidRPr="00E82BF7">
        <w:rPr>
          <w:rFonts w:ascii="Times New Roman" w:hAnsi="Times New Roman" w:cs="Times New Roman"/>
          <w:sz w:val="24"/>
          <w:szCs w:val="24"/>
        </w:rPr>
        <w:t xml:space="preserve">W istocie </w:t>
      </w:r>
      <w:bookmarkStart w:id="2" w:name="_Hlk72330404"/>
      <w:r w:rsidRPr="00E82BF7">
        <w:rPr>
          <w:rFonts w:ascii="Times New Roman" w:hAnsi="Times New Roman" w:cs="Times New Roman"/>
          <w:sz w:val="24"/>
          <w:szCs w:val="24"/>
        </w:rPr>
        <w:t>przepisy ustawy z dnia 17 listopada 1964 r. – Kodeks postępowania cywilnego (Dz. U. z 2020 r. poz. 1575</w:t>
      </w:r>
      <w:r>
        <w:rPr>
          <w:rFonts w:ascii="Times New Roman" w:hAnsi="Times New Roman" w:cs="Times New Roman"/>
          <w:sz w:val="24"/>
          <w:szCs w:val="24"/>
        </w:rPr>
        <w:t xml:space="preserve"> </w:t>
      </w:r>
      <w:r w:rsidRPr="00E82BF7">
        <w:rPr>
          <w:rFonts w:ascii="Times New Roman" w:hAnsi="Times New Roman" w:cs="Times New Roman"/>
          <w:sz w:val="24"/>
          <w:szCs w:val="24"/>
        </w:rPr>
        <w:t xml:space="preserve">z </w:t>
      </w:r>
      <w:proofErr w:type="spellStart"/>
      <w:r w:rsidRPr="00E82BF7">
        <w:rPr>
          <w:rFonts w:ascii="Times New Roman" w:hAnsi="Times New Roman" w:cs="Times New Roman"/>
          <w:sz w:val="24"/>
          <w:szCs w:val="24"/>
        </w:rPr>
        <w:t>późn</w:t>
      </w:r>
      <w:proofErr w:type="spellEnd"/>
      <w:r w:rsidRPr="00E82BF7">
        <w:rPr>
          <w:rFonts w:ascii="Times New Roman" w:hAnsi="Times New Roman" w:cs="Times New Roman"/>
          <w:sz w:val="24"/>
          <w:szCs w:val="24"/>
        </w:rPr>
        <w:t>. zm.</w:t>
      </w:r>
      <w:r>
        <w:rPr>
          <w:rFonts w:ascii="Times New Roman" w:hAnsi="Times New Roman" w:cs="Times New Roman"/>
          <w:sz w:val="24"/>
          <w:szCs w:val="24"/>
        </w:rPr>
        <w:t xml:space="preserve">, zwanej dalej </w:t>
      </w:r>
      <w:r w:rsidRPr="00E82BF7">
        <w:rPr>
          <w:rFonts w:ascii="Times New Roman" w:hAnsi="Times New Roman" w:cs="Times New Roman"/>
          <w:i/>
          <w:iCs/>
          <w:sz w:val="24"/>
          <w:szCs w:val="24"/>
        </w:rPr>
        <w:t>„k.p.c.”</w:t>
      </w:r>
      <w:r w:rsidRPr="00E82BF7">
        <w:rPr>
          <w:rFonts w:ascii="Times New Roman" w:hAnsi="Times New Roman" w:cs="Times New Roman"/>
          <w:sz w:val="24"/>
          <w:szCs w:val="24"/>
        </w:rPr>
        <w:t xml:space="preserve">) </w:t>
      </w:r>
      <w:bookmarkEnd w:id="2"/>
      <w:r w:rsidRPr="00E82BF7">
        <w:rPr>
          <w:rFonts w:ascii="Times New Roman" w:hAnsi="Times New Roman" w:cs="Times New Roman"/>
          <w:sz w:val="24"/>
          <w:szCs w:val="24"/>
        </w:rPr>
        <w:t>nie zawiera</w:t>
      </w:r>
      <w:r>
        <w:rPr>
          <w:rFonts w:ascii="Times New Roman" w:hAnsi="Times New Roman" w:cs="Times New Roman"/>
          <w:sz w:val="24"/>
          <w:szCs w:val="24"/>
        </w:rPr>
        <w:t>ją</w:t>
      </w:r>
      <w:r w:rsidRPr="00E82BF7">
        <w:rPr>
          <w:rFonts w:ascii="Times New Roman" w:hAnsi="Times New Roman" w:cs="Times New Roman"/>
          <w:sz w:val="24"/>
          <w:szCs w:val="24"/>
        </w:rPr>
        <w:t xml:space="preserve"> definicji „</w:t>
      </w:r>
      <w:r w:rsidRPr="00E82BF7">
        <w:rPr>
          <w:rFonts w:ascii="Times New Roman" w:hAnsi="Times New Roman" w:cs="Times New Roman"/>
          <w:i/>
          <w:iCs/>
          <w:sz w:val="24"/>
          <w:szCs w:val="24"/>
        </w:rPr>
        <w:t>podpisu elektronicznego”</w:t>
      </w:r>
      <w:r w:rsidRPr="00E82BF7">
        <w:rPr>
          <w:rFonts w:ascii="Times New Roman" w:hAnsi="Times New Roman" w:cs="Times New Roman"/>
          <w:sz w:val="24"/>
          <w:szCs w:val="24"/>
        </w:rPr>
        <w:t>, a jedynie wymieni</w:t>
      </w:r>
      <w:r>
        <w:rPr>
          <w:rFonts w:ascii="Times New Roman" w:hAnsi="Times New Roman" w:cs="Times New Roman"/>
          <w:sz w:val="24"/>
          <w:szCs w:val="24"/>
        </w:rPr>
        <w:t>ają</w:t>
      </w:r>
      <w:r w:rsidRPr="00E82BF7">
        <w:rPr>
          <w:rFonts w:ascii="Times New Roman" w:hAnsi="Times New Roman" w:cs="Times New Roman"/>
          <w:sz w:val="24"/>
          <w:szCs w:val="24"/>
        </w:rPr>
        <w:t xml:space="preserve"> w art. 126 § 5 trzy podpisy elektroniczne, którymi można podpisać pismo procesowe.</w:t>
      </w:r>
      <w:r>
        <w:rPr>
          <w:rFonts w:ascii="Times New Roman" w:hAnsi="Times New Roman" w:cs="Times New Roman"/>
          <w:sz w:val="24"/>
          <w:szCs w:val="24"/>
        </w:rPr>
        <w:t xml:space="preserve"> Ta </w:t>
      </w:r>
      <w:r>
        <w:rPr>
          <w:rFonts w:ascii="Times New Roman" w:eastAsia="Times New Roman" w:hAnsi="Times New Roman"/>
          <w:sz w:val="24"/>
          <w:szCs w:val="24"/>
        </w:rPr>
        <w:t>dotychczasowa d</w:t>
      </w:r>
      <w:r w:rsidRPr="00CD5F4C">
        <w:rPr>
          <w:rFonts w:ascii="Times New Roman" w:eastAsia="Times New Roman" w:hAnsi="Times New Roman"/>
          <w:sz w:val="24"/>
          <w:szCs w:val="24"/>
        </w:rPr>
        <w:t>efinicja „</w:t>
      </w:r>
      <w:r w:rsidRPr="00CD5F4C">
        <w:rPr>
          <w:rFonts w:ascii="Times New Roman" w:eastAsia="Times New Roman" w:hAnsi="Times New Roman"/>
          <w:i/>
          <w:iCs/>
          <w:sz w:val="24"/>
          <w:szCs w:val="24"/>
        </w:rPr>
        <w:t>podpisu elektronicznego</w:t>
      </w:r>
      <w:r w:rsidRPr="00CD5F4C">
        <w:rPr>
          <w:rFonts w:ascii="Times New Roman" w:eastAsia="Times New Roman" w:hAnsi="Times New Roman"/>
          <w:sz w:val="24"/>
          <w:szCs w:val="24"/>
        </w:rPr>
        <w:t xml:space="preserve">” w zmienianym rozporządzeniu zostaje jednakże zmieniona z jednoczesnym przyjęciem dla niej innego punktu widzenia i przypisania jej niejako innej roli (zmierzającej w kierunku skrótu używanego w dalszej części rozporządzenia, niż definicji </w:t>
      </w:r>
      <w:r w:rsidRPr="00581C86">
        <w:rPr>
          <w:rFonts w:ascii="Times New Roman" w:eastAsia="Times New Roman" w:hAnsi="Times New Roman"/>
          <w:i/>
          <w:iCs/>
          <w:sz w:val="24"/>
          <w:szCs w:val="24"/>
        </w:rPr>
        <w:t>sensu stricto</w:t>
      </w:r>
      <w:r w:rsidRPr="00CD5F4C">
        <w:rPr>
          <w:rFonts w:ascii="Times New Roman" w:eastAsia="Times New Roman" w:hAnsi="Times New Roman"/>
          <w:sz w:val="24"/>
          <w:szCs w:val="24"/>
        </w:rPr>
        <w:t xml:space="preserve">). </w:t>
      </w:r>
      <w:r>
        <w:rPr>
          <w:rFonts w:ascii="Times New Roman" w:hAnsi="Times New Roman"/>
          <w:sz w:val="24"/>
          <w:szCs w:val="24"/>
        </w:rPr>
        <w:t xml:space="preserve">Celem jest tu </w:t>
      </w:r>
      <w:r w:rsidRPr="00CD5F4C">
        <w:rPr>
          <w:rFonts w:ascii="Times New Roman" w:hAnsi="Times New Roman"/>
          <w:sz w:val="24"/>
          <w:szCs w:val="24"/>
        </w:rPr>
        <w:t>zdefiniowanie pojęcia „</w:t>
      </w:r>
      <w:r w:rsidRPr="00CD5F4C">
        <w:rPr>
          <w:rFonts w:ascii="Times New Roman" w:hAnsi="Times New Roman"/>
          <w:i/>
          <w:iCs/>
          <w:sz w:val="24"/>
          <w:szCs w:val="24"/>
        </w:rPr>
        <w:t>podpisu elektronicznego</w:t>
      </w:r>
      <w:r w:rsidRPr="00CD5F4C">
        <w:rPr>
          <w:rFonts w:ascii="Times New Roman" w:hAnsi="Times New Roman"/>
          <w:sz w:val="24"/>
          <w:szCs w:val="24"/>
        </w:rPr>
        <w:t>”,</w:t>
      </w:r>
      <w:r>
        <w:rPr>
          <w:rFonts w:ascii="Times New Roman" w:hAnsi="Times New Roman"/>
          <w:sz w:val="24"/>
          <w:szCs w:val="24"/>
        </w:rPr>
        <w:t xml:space="preserve"> </w:t>
      </w:r>
      <w:r w:rsidRPr="00CD5F4C">
        <w:rPr>
          <w:rFonts w:ascii="Times New Roman" w:hAnsi="Times New Roman"/>
          <w:sz w:val="24"/>
          <w:szCs w:val="24"/>
        </w:rPr>
        <w:t xml:space="preserve">którym rozporządzenie w wielu miejscach posługuje się bez konieczności każdorazowego wymieniania wszystkich trzech podpisów elektronicznych, o których mowa w art. 126 § 5 </w:t>
      </w:r>
      <w:r>
        <w:rPr>
          <w:rFonts w:ascii="Times New Roman" w:hAnsi="Times New Roman"/>
          <w:sz w:val="24"/>
          <w:szCs w:val="24"/>
        </w:rPr>
        <w:t>k.p.c</w:t>
      </w:r>
      <w:r w:rsidRPr="00367557">
        <w:rPr>
          <w:rFonts w:ascii="Times New Roman" w:hAnsi="Times New Roman" w:cs="Times New Roman"/>
          <w:sz w:val="24"/>
          <w:szCs w:val="24"/>
        </w:rPr>
        <w:t>.</w:t>
      </w:r>
      <w:r>
        <w:rPr>
          <w:rFonts w:ascii="Times New Roman" w:hAnsi="Times New Roman" w:cs="Times New Roman"/>
          <w:sz w:val="24"/>
          <w:szCs w:val="24"/>
        </w:rPr>
        <w:t xml:space="preserve"> Tym samym definicja ta jest w rozporządzeniu niezbędna.</w:t>
      </w:r>
    </w:p>
    <w:p w14:paraId="1140235F" w14:textId="2BD46A92" w:rsidR="006E5AEB" w:rsidRPr="006E5AEB" w:rsidRDefault="006E5AEB" w:rsidP="006E5AEB">
      <w:pPr>
        <w:pStyle w:val="NIEARTTEKSTtekstnieartykuowanynppodstprawnarozplubpreambua"/>
        <w:spacing w:before="0" w:line="240" w:lineRule="auto"/>
        <w:rPr>
          <w:rFonts w:ascii="Times New Roman" w:hAnsi="Times New Roman" w:cs="Times New Roman"/>
        </w:rPr>
      </w:pPr>
      <w:r w:rsidRPr="006E5AEB">
        <w:rPr>
          <w:rFonts w:ascii="Times New Roman" w:hAnsi="Times New Roman" w:cs="Times New Roman"/>
          <w:szCs w:val="24"/>
        </w:rPr>
        <w:t xml:space="preserve">Jednakże wobec podniesienia tożsamego zastrzeżenia </w:t>
      </w:r>
      <w:r>
        <w:rPr>
          <w:rFonts w:ascii="Times New Roman" w:hAnsi="Times New Roman" w:cs="Times New Roman"/>
          <w:szCs w:val="24"/>
        </w:rPr>
        <w:t xml:space="preserve">w toku uzgodnień międzyresortowych </w:t>
      </w:r>
      <w:r w:rsidRPr="006E5AEB">
        <w:rPr>
          <w:rFonts w:ascii="Times New Roman" w:hAnsi="Times New Roman" w:cs="Times New Roman"/>
          <w:szCs w:val="24"/>
        </w:rPr>
        <w:t xml:space="preserve">przez Rządowe Centrum Legislacji uwagę faktycznie uwzględniono </w:t>
      </w:r>
      <w:r w:rsidRPr="006E5AEB">
        <w:rPr>
          <w:rFonts w:ascii="Times New Roman" w:hAnsi="Times New Roman" w:cs="Times New Roman"/>
          <w:szCs w:val="24"/>
        </w:rPr>
        <w:lastRenderedPageBreak/>
        <w:t>wyjaśniając w uzasadnieniu projektu</w:t>
      </w:r>
      <w:r>
        <w:rPr>
          <w:rFonts w:ascii="Times New Roman" w:hAnsi="Times New Roman" w:cs="Times New Roman"/>
        </w:rPr>
        <w:t xml:space="preserve">, że </w:t>
      </w:r>
      <w:r w:rsidRPr="006E5AEB">
        <w:rPr>
          <w:rFonts w:ascii="Times New Roman" w:hAnsi="Times New Roman" w:cs="Times New Roman"/>
        </w:rPr>
        <w:t>usunięcie z nowelizowanego rozporządzenia definicji „podpisu elektronicznego”</w:t>
      </w:r>
      <w:r w:rsidR="005D48C7">
        <w:rPr>
          <w:rFonts w:ascii="Times New Roman" w:hAnsi="Times New Roman" w:cs="Times New Roman"/>
        </w:rPr>
        <w:t xml:space="preserve"> wynika z faktu, że definicja określonego pojęcia</w:t>
      </w:r>
      <w:r w:rsidRPr="006E5AEB">
        <w:rPr>
          <w:rFonts w:ascii="Times New Roman" w:hAnsi="Times New Roman" w:cs="Times New Roman"/>
        </w:rPr>
        <w:t xml:space="preserve"> nie powinna być zawarta w akcie wykonawczym do ustawy zawierającej już jego wyjaśnienie. Art. 126 § 5 k.p.c. przewiduje</w:t>
      </w:r>
      <w:r w:rsidR="005D48C7">
        <w:rPr>
          <w:rFonts w:ascii="Times New Roman" w:hAnsi="Times New Roman" w:cs="Times New Roman"/>
        </w:rPr>
        <w:t xml:space="preserve"> zaś</w:t>
      </w:r>
      <w:r w:rsidRPr="006E5AEB">
        <w:rPr>
          <w:rFonts w:ascii="Times New Roman" w:hAnsi="Times New Roman" w:cs="Times New Roman"/>
        </w:rPr>
        <w:t xml:space="preserve">, że pismo procesowe może być podpisane kwalifikowanym podpisem elektronicznym, podpisem zaufanym albo podpisem elektronicznym, co zakresowo określa, czym jest „podpis elektroniczny”. Ponowne wyjaśnianie tego pojęcia w akcie wykonawczym jest zbędne, a nawet nieprawidłowe z punktu widzenia zasad techniki prawodawczej. </w:t>
      </w:r>
      <w:proofErr w:type="spellStart"/>
      <w:r w:rsidRPr="006E5AEB">
        <w:rPr>
          <w:rFonts w:ascii="Times New Roman" w:hAnsi="Times New Roman" w:cs="Times New Roman"/>
        </w:rPr>
        <w:t>Podkr</w:t>
      </w:r>
      <w:r w:rsidR="005D48C7">
        <w:rPr>
          <w:rFonts w:ascii="Times New Roman" w:hAnsi="Times New Roman" w:cs="Times New Roman"/>
        </w:rPr>
        <w:t>eślo</w:t>
      </w:r>
      <w:proofErr w:type="spellEnd"/>
      <w:r w:rsidR="005D48C7">
        <w:rPr>
          <w:rFonts w:ascii="Times New Roman" w:hAnsi="Times New Roman" w:cs="Times New Roman"/>
        </w:rPr>
        <w:t xml:space="preserve"> tam też</w:t>
      </w:r>
      <w:r w:rsidRPr="006E5AEB">
        <w:rPr>
          <w:rFonts w:ascii="Times New Roman" w:hAnsi="Times New Roman" w:cs="Times New Roman"/>
        </w:rPr>
        <w:t xml:space="preserve">, że </w:t>
      </w:r>
      <w:r w:rsidR="005D48C7">
        <w:rPr>
          <w:rFonts w:ascii="Times New Roman" w:hAnsi="Times New Roman" w:cs="Times New Roman"/>
        </w:rPr>
        <w:t xml:space="preserve">w związku z tym </w:t>
      </w:r>
      <w:bookmarkStart w:id="3" w:name="_GoBack"/>
      <w:bookmarkEnd w:id="3"/>
      <w:r w:rsidRPr="006E5AEB">
        <w:rPr>
          <w:rFonts w:ascii="Times New Roman" w:hAnsi="Times New Roman" w:cs="Times New Roman"/>
        </w:rPr>
        <w:t xml:space="preserve">ilekroć projektowane rozporządzenie (co dotyczy jednocześnie rozporządzenia zmienianego) używa pojęcia „podpis elektroniczny” należy je postrzegać przez pryzmat art. 126 § 5 k.p.c. </w:t>
      </w:r>
    </w:p>
    <w:p w14:paraId="264F31AA" w14:textId="77777777" w:rsidR="00FC005B" w:rsidRDefault="00FC005B" w:rsidP="006E5AEB">
      <w:pPr>
        <w:spacing w:after="0" w:line="240" w:lineRule="auto"/>
        <w:ind w:left="0" w:firstLine="0"/>
        <w:rPr>
          <w:rFonts w:ascii="Times New Roman" w:hAnsi="Times New Roman"/>
          <w:sz w:val="24"/>
          <w:szCs w:val="24"/>
        </w:rPr>
      </w:pPr>
    </w:p>
    <w:p w14:paraId="3E63CC1C" w14:textId="4A771439" w:rsidR="002878FB" w:rsidRDefault="002878FB" w:rsidP="00FC005B">
      <w:pPr>
        <w:spacing w:after="0" w:line="240" w:lineRule="auto"/>
        <w:ind w:left="11" w:firstLine="697"/>
        <w:rPr>
          <w:rFonts w:ascii="Times New Roman" w:hAnsi="Times New Roman" w:cs="Times New Roman"/>
          <w:bCs/>
          <w:sz w:val="24"/>
          <w:szCs w:val="24"/>
        </w:rPr>
      </w:pPr>
      <w:r>
        <w:rPr>
          <w:rFonts w:ascii="Times New Roman" w:hAnsi="Times New Roman" w:cs="Times New Roman"/>
          <w:sz w:val="24"/>
          <w:szCs w:val="24"/>
        </w:rPr>
        <w:t xml:space="preserve">Uwzględniono natomiast uwagę </w:t>
      </w:r>
      <w:r w:rsidR="00FC005B">
        <w:rPr>
          <w:rFonts w:ascii="Times New Roman" w:hAnsi="Times New Roman" w:cs="Times New Roman"/>
          <w:sz w:val="24"/>
          <w:szCs w:val="24"/>
        </w:rPr>
        <w:t xml:space="preserve">opiniującego </w:t>
      </w:r>
      <w:r>
        <w:rPr>
          <w:rFonts w:ascii="Times New Roman" w:hAnsi="Times New Roman" w:cs="Times New Roman"/>
          <w:sz w:val="24"/>
          <w:szCs w:val="24"/>
        </w:rPr>
        <w:t>dotycząc</w:t>
      </w:r>
      <w:r w:rsidR="00E05B09">
        <w:rPr>
          <w:rFonts w:ascii="Times New Roman" w:hAnsi="Times New Roman" w:cs="Times New Roman"/>
          <w:sz w:val="24"/>
          <w:szCs w:val="24"/>
        </w:rPr>
        <w:t>ą</w:t>
      </w:r>
      <w:r>
        <w:rPr>
          <w:rFonts w:ascii="Times New Roman" w:hAnsi="Times New Roman" w:cs="Times New Roman"/>
          <w:sz w:val="24"/>
          <w:szCs w:val="24"/>
        </w:rPr>
        <w:t xml:space="preserve"> </w:t>
      </w:r>
      <w:r>
        <w:rPr>
          <w:rFonts w:ascii="Times New Roman" w:hAnsi="Times New Roman"/>
          <w:sz w:val="24"/>
          <w:szCs w:val="24"/>
        </w:rPr>
        <w:t>usunięcia</w:t>
      </w:r>
      <w:r w:rsidRPr="00523C47">
        <w:rPr>
          <w:rFonts w:ascii="Times New Roman" w:hAnsi="Times New Roman" w:cs="Times New Roman"/>
          <w:bCs/>
          <w:sz w:val="24"/>
          <w:szCs w:val="24"/>
        </w:rPr>
        <w:t xml:space="preserve"> </w:t>
      </w:r>
      <w:r>
        <w:rPr>
          <w:rFonts w:ascii="Times New Roman" w:hAnsi="Times New Roman" w:cs="Times New Roman"/>
          <w:bCs/>
          <w:sz w:val="24"/>
          <w:szCs w:val="24"/>
        </w:rPr>
        <w:t xml:space="preserve">z </w:t>
      </w:r>
      <w:r w:rsidRPr="00523C47">
        <w:rPr>
          <w:rFonts w:ascii="Times New Roman" w:hAnsi="Times New Roman" w:cs="Times New Roman"/>
          <w:bCs/>
          <w:sz w:val="24"/>
          <w:szCs w:val="24"/>
        </w:rPr>
        <w:t xml:space="preserve">definicji </w:t>
      </w:r>
      <w:r>
        <w:rPr>
          <w:rFonts w:ascii="Times New Roman" w:hAnsi="Times New Roman" w:cs="Times New Roman"/>
          <w:bCs/>
          <w:sz w:val="24"/>
          <w:szCs w:val="24"/>
        </w:rPr>
        <w:t>„</w:t>
      </w:r>
      <w:r w:rsidRPr="00DC120A">
        <w:rPr>
          <w:rFonts w:ascii="Times New Roman" w:hAnsi="Times New Roman" w:cs="Times New Roman"/>
          <w:bCs/>
          <w:i/>
          <w:iCs/>
          <w:sz w:val="24"/>
          <w:szCs w:val="24"/>
        </w:rPr>
        <w:t>użytkownika</w:t>
      </w:r>
      <w:r>
        <w:rPr>
          <w:rFonts w:ascii="Times New Roman" w:hAnsi="Times New Roman" w:cs="Times New Roman"/>
          <w:bCs/>
          <w:sz w:val="24"/>
          <w:szCs w:val="24"/>
        </w:rPr>
        <w:t>”</w:t>
      </w:r>
      <w:r w:rsidRPr="00523C47">
        <w:rPr>
          <w:rFonts w:ascii="Times New Roman" w:hAnsi="Times New Roman" w:cs="Times New Roman"/>
          <w:bCs/>
          <w:sz w:val="24"/>
          <w:szCs w:val="24"/>
        </w:rPr>
        <w:t xml:space="preserve"> sformułowania wskazującego, że konto użytkownika powinno być</w:t>
      </w:r>
      <w:r>
        <w:rPr>
          <w:rFonts w:ascii="Times New Roman" w:hAnsi="Times New Roman" w:cs="Times New Roman"/>
          <w:bCs/>
          <w:sz w:val="24"/>
          <w:szCs w:val="24"/>
        </w:rPr>
        <w:t xml:space="preserve"> założone</w:t>
      </w:r>
      <w:r w:rsidRPr="00523C47">
        <w:rPr>
          <w:rFonts w:ascii="Times New Roman" w:hAnsi="Times New Roman" w:cs="Times New Roman"/>
          <w:bCs/>
          <w:sz w:val="24"/>
          <w:szCs w:val="24"/>
        </w:rPr>
        <w:t xml:space="preserve"> </w:t>
      </w:r>
      <w:r w:rsidR="00E05B09">
        <w:rPr>
          <w:rFonts w:ascii="Times New Roman" w:hAnsi="Times New Roman" w:cs="Times New Roman"/>
          <w:bCs/>
          <w:sz w:val="24"/>
          <w:szCs w:val="24"/>
        </w:rPr>
        <w:br/>
      </w:r>
      <w:r w:rsidRPr="00523C47">
        <w:rPr>
          <w:rFonts w:ascii="Times New Roman" w:hAnsi="Times New Roman" w:cs="Times New Roman"/>
          <w:bCs/>
          <w:sz w:val="24"/>
          <w:szCs w:val="24"/>
        </w:rPr>
        <w:t>„</w:t>
      </w:r>
      <w:r w:rsidRPr="00DC120A">
        <w:rPr>
          <w:rFonts w:ascii="Times New Roman" w:hAnsi="Times New Roman" w:cs="Times New Roman"/>
          <w:bCs/>
          <w:i/>
          <w:iCs/>
          <w:sz w:val="24"/>
          <w:szCs w:val="24"/>
        </w:rPr>
        <w:t>w systemie teleinformatycznym obsługującym postępowanie sądowe</w:t>
      </w:r>
      <w:r w:rsidRPr="00523C47">
        <w:rPr>
          <w:rFonts w:ascii="Times New Roman" w:hAnsi="Times New Roman" w:cs="Times New Roman"/>
          <w:bCs/>
          <w:sz w:val="24"/>
          <w:szCs w:val="24"/>
        </w:rPr>
        <w:t>”</w:t>
      </w:r>
      <w:r>
        <w:rPr>
          <w:rFonts w:ascii="Times New Roman" w:hAnsi="Times New Roman" w:cs="Times New Roman"/>
          <w:bCs/>
          <w:sz w:val="24"/>
          <w:szCs w:val="24"/>
        </w:rPr>
        <w:t>.</w:t>
      </w:r>
      <w:r w:rsidRPr="00523C47">
        <w:rPr>
          <w:rFonts w:ascii="Times New Roman" w:hAnsi="Times New Roman" w:cs="Times New Roman"/>
          <w:bCs/>
          <w:sz w:val="24"/>
          <w:szCs w:val="24"/>
        </w:rPr>
        <w:t xml:space="preserve"> </w:t>
      </w:r>
    </w:p>
    <w:p w14:paraId="410A52C8" w14:textId="4416A483" w:rsidR="00FC005B" w:rsidRDefault="00FC005B" w:rsidP="00FC005B">
      <w:pPr>
        <w:spacing w:after="0" w:line="240" w:lineRule="auto"/>
        <w:ind w:left="11" w:firstLine="697"/>
        <w:rPr>
          <w:rFonts w:ascii="Times New Roman" w:hAnsi="Times New Roman" w:cs="Times New Roman"/>
          <w:bCs/>
          <w:sz w:val="24"/>
          <w:szCs w:val="24"/>
        </w:rPr>
      </w:pPr>
    </w:p>
    <w:p w14:paraId="59FE67C9" w14:textId="77777777" w:rsidR="00FC005B" w:rsidRDefault="00FC005B" w:rsidP="00FC005B">
      <w:pPr>
        <w:spacing w:after="0" w:line="240" w:lineRule="auto"/>
        <w:ind w:left="11" w:firstLine="697"/>
        <w:rPr>
          <w:rFonts w:ascii="Times New Roman" w:hAnsi="Times New Roman"/>
          <w:sz w:val="24"/>
          <w:szCs w:val="24"/>
        </w:rPr>
      </w:pPr>
      <w:r>
        <w:rPr>
          <w:rFonts w:ascii="Times New Roman" w:hAnsi="Times New Roman" w:cs="Times New Roman"/>
          <w:bCs/>
          <w:sz w:val="24"/>
          <w:szCs w:val="24"/>
        </w:rPr>
        <w:t xml:space="preserve">Nie została uwzględniona uwaga </w:t>
      </w:r>
      <w:r>
        <w:rPr>
          <w:rFonts w:ascii="Times New Roman" w:hAnsi="Times New Roman"/>
          <w:sz w:val="24"/>
          <w:szCs w:val="24"/>
        </w:rPr>
        <w:t xml:space="preserve">dotycząca </w:t>
      </w:r>
      <w:r w:rsidR="002878FB">
        <w:rPr>
          <w:rFonts w:ascii="Times New Roman" w:hAnsi="Times New Roman" w:cs="Times New Roman"/>
          <w:bCs/>
          <w:sz w:val="24"/>
          <w:szCs w:val="24"/>
        </w:rPr>
        <w:t>prawidłowości i poprawnośc</w:t>
      </w:r>
      <w:r>
        <w:rPr>
          <w:rFonts w:ascii="Times New Roman" w:hAnsi="Times New Roman" w:cs="Times New Roman"/>
          <w:bCs/>
          <w:sz w:val="24"/>
          <w:szCs w:val="24"/>
        </w:rPr>
        <w:t xml:space="preserve">i </w:t>
      </w:r>
      <w:r w:rsidR="002878FB">
        <w:rPr>
          <w:rFonts w:ascii="Times New Roman" w:hAnsi="Times New Roman" w:cs="Times New Roman"/>
          <w:bCs/>
          <w:sz w:val="24"/>
          <w:szCs w:val="24"/>
        </w:rPr>
        <w:t>zdefiniowania pojęcia</w:t>
      </w:r>
      <w:r w:rsidR="002878FB" w:rsidRPr="00A31241">
        <w:rPr>
          <w:rFonts w:ascii="Times New Roman" w:hAnsi="Times New Roman" w:cs="Times New Roman"/>
          <w:bCs/>
          <w:sz w:val="24"/>
          <w:szCs w:val="24"/>
        </w:rPr>
        <w:t xml:space="preserve"> „</w:t>
      </w:r>
      <w:r w:rsidR="002878FB" w:rsidRPr="00A31241">
        <w:rPr>
          <w:rFonts w:ascii="Times New Roman" w:hAnsi="Times New Roman" w:cs="Times New Roman"/>
          <w:bCs/>
          <w:i/>
          <w:iCs/>
          <w:sz w:val="24"/>
          <w:szCs w:val="24"/>
        </w:rPr>
        <w:t>uwierzytelnienia</w:t>
      </w:r>
      <w:r w:rsidR="002878FB" w:rsidRPr="00A31241">
        <w:rPr>
          <w:rFonts w:ascii="Times New Roman" w:hAnsi="Times New Roman" w:cs="Times New Roman"/>
          <w:bCs/>
          <w:sz w:val="24"/>
          <w:szCs w:val="24"/>
        </w:rPr>
        <w:t>”</w:t>
      </w:r>
      <w:r w:rsidR="002878FB">
        <w:rPr>
          <w:rFonts w:ascii="Times New Roman" w:hAnsi="Times New Roman" w:cs="Times New Roman"/>
          <w:bCs/>
          <w:sz w:val="24"/>
          <w:szCs w:val="24"/>
        </w:rPr>
        <w:t xml:space="preserve">, a w szczególności </w:t>
      </w:r>
      <w:r w:rsidR="002878FB" w:rsidRPr="00A31241">
        <w:rPr>
          <w:rFonts w:ascii="Times New Roman" w:hAnsi="Times New Roman" w:cs="Times New Roman"/>
          <w:bCs/>
          <w:sz w:val="24"/>
          <w:szCs w:val="24"/>
        </w:rPr>
        <w:t>użytego w</w:t>
      </w:r>
      <w:r w:rsidR="002878FB">
        <w:rPr>
          <w:rFonts w:ascii="Times New Roman" w:hAnsi="Times New Roman" w:cs="Times New Roman"/>
          <w:bCs/>
          <w:sz w:val="24"/>
          <w:szCs w:val="24"/>
        </w:rPr>
        <w:t xml:space="preserve"> tej definicji</w:t>
      </w:r>
      <w:r w:rsidR="002878FB" w:rsidRPr="00A31241">
        <w:rPr>
          <w:rFonts w:ascii="Times New Roman" w:hAnsi="Times New Roman" w:cs="Times New Roman"/>
          <w:bCs/>
          <w:sz w:val="24"/>
          <w:szCs w:val="24"/>
        </w:rPr>
        <w:t xml:space="preserve"> wyrażenia „</w:t>
      </w:r>
      <w:r w:rsidR="002878FB" w:rsidRPr="00143943">
        <w:rPr>
          <w:rFonts w:ascii="Times New Roman" w:hAnsi="Times New Roman" w:cs="Times New Roman"/>
          <w:bCs/>
          <w:i/>
          <w:iCs/>
          <w:sz w:val="24"/>
          <w:szCs w:val="24"/>
        </w:rPr>
        <w:t>proces elektroniczny</w:t>
      </w:r>
      <w:r w:rsidR="002878FB" w:rsidRPr="00A31241">
        <w:rPr>
          <w:rFonts w:ascii="Times New Roman" w:hAnsi="Times New Roman" w:cs="Times New Roman"/>
          <w:bCs/>
          <w:sz w:val="24"/>
          <w:szCs w:val="24"/>
        </w:rPr>
        <w:t>”</w:t>
      </w:r>
      <w:r w:rsidR="002878FB">
        <w:rPr>
          <w:rFonts w:ascii="Times New Roman" w:hAnsi="Times New Roman" w:cs="Times New Roman"/>
          <w:bCs/>
          <w:sz w:val="24"/>
          <w:szCs w:val="24"/>
        </w:rPr>
        <w:t>. W przedmiotowym zakresie</w:t>
      </w:r>
      <w:r>
        <w:rPr>
          <w:rFonts w:ascii="Times New Roman" w:hAnsi="Times New Roman" w:cs="Times New Roman"/>
          <w:sz w:val="24"/>
          <w:szCs w:val="24"/>
        </w:rPr>
        <w:t xml:space="preserve"> wyjaśniono</w:t>
      </w:r>
      <w:r w:rsidR="002878FB">
        <w:rPr>
          <w:rFonts w:ascii="Times New Roman" w:hAnsi="Times New Roman" w:cs="Times New Roman"/>
          <w:sz w:val="24"/>
          <w:szCs w:val="24"/>
        </w:rPr>
        <w:t xml:space="preserve">, że </w:t>
      </w:r>
      <w:r w:rsidR="002878FB">
        <w:rPr>
          <w:rFonts w:ascii="Times New Roman" w:hAnsi="Times New Roman"/>
          <w:sz w:val="24"/>
          <w:szCs w:val="24"/>
        </w:rPr>
        <w:t>w</w:t>
      </w:r>
      <w:r w:rsidR="002878FB" w:rsidRPr="005B57DA">
        <w:rPr>
          <w:rFonts w:ascii="Times New Roman" w:hAnsi="Times New Roman"/>
          <w:sz w:val="24"/>
          <w:szCs w:val="24"/>
        </w:rPr>
        <w:t xml:space="preserve"> uzasadnieniu </w:t>
      </w:r>
      <w:r w:rsidR="002878FB">
        <w:rPr>
          <w:rFonts w:ascii="Times New Roman" w:hAnsi="Times New Roman"/>
          <w:sz w:val="24"/>
          <w:szCs w:val="24"/>
        </w:rPr>
        <w:t xml:space="preserve">projektu podkreślone </w:t>
      </w:r>
      <w:r w:rsidR="002878FB" w:rsidRPr="005B57DA">
        <w:rPr>
          <w:rFonts w:ascii="Times New Roman" w:hAnsi="Times New Roman"/>
          <w:sz w:val="24"/>
          <w:szCs w:val="24"/>
        </w:rPr>
        <w:t xml:space="preserve">zostało, że przedmiotowe wyrażenie </w:t>
      </w:r>
      <w:r w:rsidR="002878FB" w:rsidRPr="005B57DA">
        <w:rPr>
          <w:rFonts w:ascii="Times New Roman" w:hAnsi="Times New Roman" w:cs="Times New Roman"/>
          <w:sz w:val="24"/>
          <w:szCs w:val="24"/>
        </w:rPr>
        <w:t>nie powinno być postrzegane jako samodzielne pojęcie wymagające definiowania, a projekt posługuje się nim, zresztą w ślad za rozporządzeniem unijnym „</w:t>
      </w:r>
      <w:proofErr w:type="spellStart"/>
      <w:r w:rsidR="002878FB" w:rsidRPr="005B57DA">
        <w:rPr>
          <w:rFonts w:ascii="Times New Roman" w:hAnsi="Times New Roman" w:cs="Times New Roman"/>
          <w:sz w:val="24"/>
          <w:szCs w:val="24"/>
        </w:rPr>
        <w:t>eIDAS</w:t>
      </w:r>
      <w:proofErr w:type="spellEnd"/>
      <w:r w:rsidR="002878FB" w:rsidRPr="005B57DA">
        <w:rPr>
          <w:rFonts w:ascii="Times New Roman" w:hAnsi="Times New Roman" w:cs="Times New Roman"/>
          <w:sz w:val="24"/>
          <w:szCs w:val="24"/>
        </w:rPr>
        <w:t>”, dla oddania charakteru uwierzytelnienia jako ciągu czynności (procesu) w postaci elektronicznej (procesu elektronicznego) skutkujących uzyskaniem uprawnień do podejmowania określonych działań w systemie teleinformatycznym obsługującym postępowanie sądowe.</w:t>
      </w:r>
    </w:p>
    <w:p w14:paraId="7BF4C262" w14:textId="77777777" w:rsidR="00D87094" w:rsidRDefault="00D87094" w:rsidP="00FC005B">
      <w:pPr>
        <w:spacing w:after="0" w:line="240" w:lineRule="auto"/>
        <w:ind w:left="11" w:firstLine="697"/>
        <w:rPr>
          <w:rFonts w:ascii="Times New Roman" w:hAnsi="Times New Roman"/>
          <w:sz w:val="24"/>
          <w:szCs w:val="24"/>
        </w:rPr>
      </w:pPr>
    </w:p>
    <w:p w14:paraId="165ED1A5" w14:textId="79EE630D" w:rsidR="00D87094" w:rsidRDefault="002878FB" w:rsidP="00D87094">
      <w:pPr>
        <w:spacing w:after="0" w:line="240" w:lineRule="auto"/>
        <w:ind w:left="11" w:firstLine="697"/>
        <w:rPr>
          <w:rFonts w:ascii="Times New Roman" w:hAnsi="Times New Roman"/>
          <w:sz w:val="24"/>
          <w:szCs w:val="24"/>
        </w:rPr>
      </w:pPr>
      <w:r>
        <w:rPr>
          <w:rFonts w:ascii="Times New Roman" w:hAnsi="Times New Roman" w:cs="Times New Roman"/>
          <w:sz w:val="24"/>
          <w:szCs w:val="24"/>
        </w:rPr>
        <w:t xml:space="preserve">Odnosząc się </w:t>
      </w:r>
      <w:r w:rsidR="00FC005B">
        <w:rPr>
          <w:rFonts w:ascii="Times New Roman" w:hAnsi="Times New Roman" w:cs="Times New Roman"/>
          <w:sz w:val="24"/>
          <w:szCs w:val="24"/>
        </w:rPr>
        <w:t xml:space="preserve">zaś </w:t>
      </w:r>
      <w:r>
        <w:rPr>
          <w:rFonts w:ascii="Times New Roman" w:hAnsi="Times New Roman" w:cs="Times New Roman"/>
          <w:sz w:val="24"/>
          <w:szCs w:val="24"/>
        </w:rPr>
        <w:t xml:space="preserve">do uwagi </w:t>
      </w:r>
      <w:r w:rsidR="00FC005B">
        <w:rPr>
          <w:rFonts w:ascii="Times New Roman" w:hAnsi="Times New Roman" w:cs="Times New Roman"/>
          <w:sz w:val="24"/>
          <w:szCs w:val="24"/>
        </w:rPr>
        <w:t xml:space="preserve">Opiniującego </w:t>
      </w:r>
      <w:r>
        <w:rPr>
          <w:rFonts w:ascii="Times New Roman" w:hAnsi="Times New Roman" w:cs="Times New Roman"/>
          <w:sz w:val="24"/>
          <w:szCs w:val="24"/>
        </w:rPr>
        <w:t>dotyczącej definicji „konta” wskaza</w:t>
      </w:r>
      <w:r w:rsidR="00FC005B">
        <w:rPr>
          <w:rFonts w:ascii="Times New Roman" w:hAnsi="Times New Roman" w:cs="Times New Roman"/>
          <w:sz w:val="24"/>
          <w:szCs w:val="24"/>
        </w:rPr>
        <w:t>no</w:t>
      </w:r>
      <w:r>
        <w:rPr>
          <w:rFonts w:ascii="Times New Roman" w:hAnsi="Times New Roman" w:cs="Times New Roman"/>
          <w:sz w:val="24"/>
          <w:szCs w:val="24"/>
        </w:rPr>
        <w:t>,</w:t>
      </w:r>
      <w:r>
        <w:rPr>
          <w:rFonts w:ascii="Times New Roman" w:hAnsi="Times New Roman" w:cs="Times New Roman"/>
          <w:sz w:val="24"/>
          <w:szCs w:val="24"/>
        </w:rPr>
        <w:br/>
        <w:t xml:space="preserve">że – zdaniem projektodawcy – w sposób jasny i </w:t>
      </w:r>
      <w:r w:rsidRPr="00615D3A">
        <w:rPr>
          <w:rFonts w:ascii="Times New Roman" w:hAnsi="Times New Roman" w:cs="Times New Roman"/>
          <w:sz w:val="24"/>
          <w:szCs w:val="24"/>
        </w:rPr>
        <w:t>wystarczając</w:t>
      </w:r>
      <w:r>
        <w:rPr>
          <w:rFonts w:ascii="Times New Roman" w:hAnsi="Times New Roman" w:cs="Times New Roman"/>
          <w:sz w:val="24"/>
          <w:szCs w:val="24"/>
        </w:rPr>
        <w:t>y</w:t>
      </w:r>
      <w:r w:rsidRPr="00615D3A">
        <w:rPr>
          <w:rFonts w:ascii="Times New Roman" w:hAnsi="Times New Roman" w:cs="Times New Roman"/>
          <w:sz w:val="24"/>
          <w:szCs w:val="24"/>
        </w:rPr>
        <w:t xml:space="preserve"> wynika</w:t>
      </w:r>
      <w:r>
        <w:rPr>
          <w:rFonts w:ascii="Times New Roman" w:hAnsi="Times New Roman" w:cs="Times New Roman"/>
          <w:sz w:val="24"/>
          <w:szCs w:val="24"/>
        </w:rPr>
        <w:t xml:space="preserve"> z przyjętej redakcji tego przepisu</w:t>
      </w:r>
      <w:r w:rsidRPr="00615D3A">
        <w:rPr>
          <w:rFonts w:ascii="Times New Roman" w:hAnsi="Times New Roman" w:cs="Times New Roman"/>
          <w:sz w:val="24"/>
          <w:szCs w:val="24"/>
        </w:rPr>
        <w:t xml:space="preserve">, </w:t>
      </w:r>
      <w:r w:rsidR="00E05B09">
        <w:rPr>
          <w:rFonts w:ascii="Times New Roman" w:hAnsi="Times New Roman" w:cs="Times New Roman"/>
          <w:sz w:val="24"/>
          <w:szCs w:val="24"/>
        </w:rPr>
        <w:t>iż</w:t>
      </w:r>
      <w:r w:rsidRPr="00615D3A">
        <w:rPr>
          <w:rFonts w:ascii="Times New Roman" w:hAnsi="Times New Roman" w:cs="Times New Roman"/>
          <w:sz w:val="24"/>
          <w:szCs w:val="24"/>
        </w:rPr>
        <w:t xml:space="preserve"> </w:t>
      </w:r>
      <w:r>
        <w:rPr>
          <w:rFonts w:ascii="Times New Roman" w:hAnsi="Times New Roman" w:cs="Times New Roman"/>
          <w:sz w:val="24"/>
          <w:szCs w:val="24"/>
        </w:rPr>
        <w:t xml:space="preserve">dotyczy on </w:t>
      </w:r>
      <w:r w:rsidRPr="00615D3A">
        <w:rPr>
          <w:rFonts w:ascii="Times New Roman" w:hAnsi="Times New Roman" w:cs="Times New Roman"/>
          <w:sz w:val="24"/>
          <w:szCs w:val="24"/>
        </w:rPr>
        <w:t>zasob</w:t>
      </w:r>
      <w:r>
        <w:rPr>
          <w:rFonts w:ascii="Times New Roman" w:hAnsi="Times New Roman" w:cs="Times New Roman"/>
          <w:sz w:val="24"/>
          <w:szCs w:val="24"/>
        </w:rPr>
        <w:t xml:space="preserve">ów </w:t>
      </w:r>
      <w:r w:rsidRPr="00615D3A">
        <w:rPr>
          <w:rFonts w:ascii="Times New Roman" w:hAnsi="Times New Roman" w:cs="Times New Roman"/>
          <w:sz w:val="24"/>
          <w:szCs w:val="24"/>
        </w:rPr>
        <w:t>systemu teleinformatycznego obsługującego postępowanie sądowe</w:t>
      </w:r>
      <w:r>
        <w:rPr>
          <w:rFonts w:ascii="Times New Roman" w:hAnsi="Times New Roman" w:cs="Times New Roman"/>
          <w:sz w:val="24"/>
          <w:szCs w:val="24"/>
        </w:rPr>
        <w:t xml:space="preserve"> </w:t>
      </w:r>
      <w:r w:rsidRPr="00615D3A">
        <w:rPr>
          <w:rFonts w:ascii="Times New Roman" w:hAnsi="Times New Roman" w:cs="Times New Roman"/>
          <w:sz w:val="24"/>
          <w:szCs w:val="24"/>
        </w:rPr>
        <w:t>przyporządko</w:t>
      </w:r>
      <w:r>
        <w:rPr>
          <w:rFonts w:ascii="Times New Roman" w:hAnsi="Times New Roman" w:cs="Times New Roman"/>
          <w:sz w:val="24"/>
          <w:szCs w:val="24"/>
        </w:rPr>
        <w:t>wanych</w:t>
      </w:r>
      <w:r w:rsidRPr="00615D3A">
        <w:rPr>
          <w:rFonts w:ascii="Times New Roman" w:hAnsi="Times New Roman" w:cs="Times New Roman"/>
          <w:sz w:val="24"/>
          <w:szCs w:val="24"/>
        </w:rPr>
        <w:t xml:space="preserve"> do użytkownika konta, który ma być identyfikowany.</w:t>
      </w:r>
      <w:r>
        <w:rPr>
          <w:rFonts w:ascii="Times New Roman" w:hAnsi="Times New Roman" w:cs="Times New Roman"/>
          <w:sz w:val="24"/>
          <w:szCs w:val="24"/>
        </w:rPr>
        <w:t xml:space="preserve"> </w:t>
      </w:r>
    </w:p>
    <w:p w14:paraId="05942D32" w14:textId="77777777" w:rsidR="00D87094" w:rsidRDefault="00D87094" w:rsidP="00D87094">
      <w:pPr>
        <w:spacing w:after="0" w:line="240" w:lineRule="auto"/>
        <w:ind w:left="11" w:firstLine="697"/>
        <w:rPr>
          <w:rFonts w:ascii="Times New Roman" w:hAnsi="Times New Roman"/>
          <w:sz w:val="24"/>
          <w:szCs w:val="24"/>
        </w:rPr>
      </w:pPr>
    </w:p>
    <w:p w14:paraId="25D7038E" w14:textId="77777777" w:rsidR="00D87094" w:rsidRDefault="002878FB" w:rsidP="00D87094">
      <w:pPr>
        <w:spacing w:after="0" w:line="240" w:lineRule="auto"/>
        <w:ind w:left="11" w:firstLine="697"/>
        <w:rPr>
          <w:rFonts w:ascii="Times New Roman" w:hAnsi="Times New Roman"/>
          <w:sz w:val="24"/>
          <w:szCs w:val="24"/>
        </w:rPr>
      </w:pPr>
      <w:r>
        <w:rPr>
          <w:rFonts w:ascii="Times New Roman" w:hAnsi="Times New Roman" w:cs="Times New Roman"/>
          <w:sz w:val="24"/>
          <w:szCs w:val="24"/>
        </w:rPr>
        <w:t xml:space="preserve">Nie </w:t>
      </w:r>
      <w:r w:rsidR="00D87094">
        <w:rPr>
          <w:rFonts w:ascii="Times New Roman" w:hAnsi="Times New Roman" w:cs="Times New Roman"/>
          <w:sz w:val="24"/>
          <w:szCs w:val="24"/>
        </w:rPr>
        <w:t xml:space="preserve">podzielono też zapatrywania Opiniującego </w:t>
      </w:r>
      <w:r>
        <w:rPr>
          <w:rFonts w:ascii="Times New Roman" w:hAnsi="Times New Roman" w:cs="Times New Roman"/>
          <w:sz w:val="24"/>
          <w:szCs w:val="24"/>
        </w:rPr>
        <w:t>dotyczą</w:t>
      </w:r>
      <w:r w:rsidR="00D87094">
        <w:rPr>
          <w:rFonts w:ascii="Times New Roman" w:hAnsi="Times New Roman" w:cs="Times New Roman"/>
          <w:sz w:val="24"/>
          <w:szCs w:val="24"/>
        </w:rPr>
        <w:t>cego</w:t>
      </w:r>
      <w:r>
        <w:rPr>
          <w:rFonts w:ascii="Times New Roman" w:hAnsi="Times New Roman" w:cs="Times New Roman"/>
          <w:sz w:val="24"/>
          <w:szCs w:val="24"/>
        </w:rPr>
        <w:t xml:space="preserve"> niepoprawności stylistycznej zmienianego przepisu § 2 ust. 2, który jest – w ocenie projektodawcy – przepisem jasnym i krótkim. Opiniujący nie wyjaśnił też o jakiej niepoprawności jest tu mowa</w:t>
      </w:r>
      <w:r w:rsidRPr="000908C6">
        <w:rPr>
          <w:rFonts w:ascii="Times New Roman" w:hAnsi="Times New Roman" w:cs="Times New Roman"/>
          <w:sz w:val="24"/>
          <w:szCs w:val="24"/>
        </w:rPr>
        <w:t xml:space="preserve">. </w:t>
      </w:r>
    </w:p>
    <w:p w14:paraId="44669272" w14:textId="77777777" w:rsidR="00D87094" w:rsidRDefault="00D87094" w:rsidP="00D87094">
      <w:pPr>
        <w:spacing w:after="0" w:line="240" w:lineRule="auto"/>
        <w:ind w:left="11" w:firstLine="697"/>
        <w:rPr>
          <w:rFonts w:ascii="Times New Roman" w:hAnsi="Times New Roman" w:cs="Times New Roman"/>
          <w:sz w:val="24"/>
          <w:szCs w:val="24"/>
        </w:rPr>
      </w:pPr>
    </w:p>
    <w:p w14:paraId="1ECE3800" w14:textId="77777777" w:rsidR="00D87094" w:rsidRDefault="002878FB" w:rsidP="00D87094">
      <w:pPr>
        <w:spacing w:after="0" w:line="240" w:lineRule="auto"/>
        <w:ind w:left="11" w:firstLine="697"/>
        <w:rPr>
          <w:rFonts w:ascii="Times New Roman" w:hAnsi="Times New Roman"/>
          <w:sz w:val="24"/>
          <w:szCs w:val="24"/>
        </w:rPr>
      </w:pPr>
      <w:r w:rsidRPr="008F0935">
        <w:rPr>
          <w:rFonts w:ascii="Times New Roman" w:hAnsi="Times New Roman" w:cs="Times New Roman"/>
          <w:sz w:val="24"/>
          <w:szCs w:val="24"/>
        </w:rPr>
        <w:t>N</w:t>
      </w:r>
      <w:r w:rsidR="00D87094">
        <w:rPr>
          <w:rFonts w:ascii="Times New Roman" w:hAnsi="Times New Roman" w:cs="Times New Roman"/>
          <w:sz w:val="24"/>
          <w:szCs w:val="24"/>
        </w:rPr>
        <w:t>ie</w:t>
      </w:r>
      <w:r w:rsidRPr="008F0935">
        <w:rPr>
          <w:rFonts w:ascii="Times New Roman" w:hAnsi="Times New Roman" w:cs="Times New Roman"/>
          <w:sz w:val="24"/>
          <w:szCs w:val="24"/>
        </w:rPr>
        <w:t xml:space="preserve"> uwzględniono również propozycji dotyczącej projektowanego § 5a, którego ust. 1 pkt 5 przewiduje, że w elektronicznym postępowaniu rejestrowym wysłać pismo do sądu ma użytkownik przygotowujący pismo.</w:t>
      </w:r>
    </w:p>
    <w:p w14:paraId="28B365E7" w14:textId="357684B7" w:rsidR="002878FB" w:rsidRPr="00D87094" w:rsidRDefault="00D87094" w:rsidP="00D87094">
      <w:pPr>
        <w:spacing w:after="0" w:line="240" w:lineRule="auto"/>
        <w:ind w:left="11" w:firstLine="697"/>
        <w:rPr>
          <w:rFonts w:ascii="Times New Roman" w:hAnsi="Times New Roman"/>
          <w:sz w:val="24"/>
          <w:szCs w:val="24"/>
        </w:rPr>
      </w:pPr>
      <w:r>
        <w:rPr>
          <w:rFonts w:ascii="Times New Roman" w:hAnsi="Times New Roman" w:cs="Times New Roman"/>
          <w:sz w:val="24"/>
          <w:szCs w:val="24"/>
        </w:rPr>
        <w:t>W tym zakresie wyjaśniono</w:t>
      </w:r>
      <w:r w:rsidR="002878FB">
        <w:rPr>
          <w:rFonts w:ascii="Times New Roman" w:hAnsi="Times New Roman" w:cs="Times New Roman"/>
          <w:sz w:val="24"/>
          <w:szCs w:val="24"/>
        </w:rPr>
        <w:t xml:space="preserve">, że w elektronicznym postępowaniu rejestrowym uregulowanym w tym przepisie pismo do sądu będzie mógł wysłać tylko użytkownik przygotowujący pismo. Dla systemu teleinformatycznego </w:t>
      </w:r>
      <w:r w:rsidR="002878FB" w:rsidRPr="00CC27C6">
        <w:rPr>
          <w:rFonts w:ascii="Times New Roman" w:hAnsi="Times New Roman" w:cs="Times New Roman"/>
          <w:sz w:val="24"/>
          <w:szCs w:val="24"/>
        </w:rPr>
        <w:t>obsługując</w:t>
      </w:r>
      <w:r w:rsidR="002878FB">
        <w:rPr>
          <w:rFonts w:ascii="Times New Roman" w:hAnsi="Times New Roman" w:cs="Times New Roman"/>
          <w:sz w:val="24"/>
          <w:szCs w:val="24"/>
        </w:rPr>
        <w:t>ego</w:t>
      </w:r>
      <w:r w:rsidR="002878FB" w:rsidRPr="00CC27C6">
        <w:rPr>
          <w:rFonts w:ascii="Times New Roman" w:hAnsi="Times New Roman" w:cs="Times New Roman"/>
          <w:sz w:val="24"/>
          <w:szCs w:val="24"/>
        </w:rPr>
        <w:t xml:space="preserve"> postępowanie sądow</w:t>
      </w:r>
      <w:r w:rsidR="002878FB">
        <w:rPr>
          <w:rFonts w:ascii="Times New Roman" w:hAnsi="Times New Roman" w:cs="Times New Roman"/>
          <w:sz w:val="24"/>
          <w:szCs w:val="24"/>
        </w:rPr>
        <w:t>e</w:t>
      </w:r>
      <w:r w:rsidR="002878FB" w:rsidRPr="00CC27C6">
        <w:rPr>
          <w:rFonts w:ascii="Times New Roman" w:hAnsi="Times New Roman" w:cs="Times New Roman"/>
          <w:sz w:val="24"/>
          <w:szCs w:val="24"/>
        </w:rPr>
        <w:t xml:space="preserve"> osobą wysyłającą pismo do sądu zawsze będzie użytkownik konta, chociażby fizycznie</w:t>
      </w:r>
      <w:r w:rsidR="002878FB">
        <w:rPr>
          <w:rFonts w:ascii="Times New Roman" w:hAnsi="Times New Roman" w:cs="Times New Roman"/>
          <w:sz w:val="24"/>
          <w:szCs w:val="24"/>
        </w:rPr>
        <w:t xml:space="preserve"> czy faktycznie</w:t>
      </w:r>
      <w:r w:rsidR="002878FB" w:rsidRPr="00CC27C6">
        <w:rPr>
          <w:rFonts w:ascii="Times New Roman" w:hAnsi="Times New Roman" w:cs="Times New Roman"/>
          <w:sz w:val="24"/>
          <w:szCs w:val="24"/>
        </w:rPr>
        <w:t xml:space="preserve"> kto inny</w:t>
      </w:r>
      <w:r w:rsidR="002878FB">
        <w:rPr>
          <w:rFonts w:ascii="Times New Roman" w:hAnsi="Times New Roman" w:cs="Times New Roman"/>
          <w:sz w:val="24"/>
          <w:szCs w:val="24"/>
        </w:rPr>
        <w:t>,</w:t>
      </w:r>
      <w:r w:rsidR="002878FB" w:rsidRPr="00CC27C6">
        <w:rPr>
          <w:rFonts w:ascii="Times New Roman" w:hAnsi="Times New Roman" w:cs="Times New Roman"/>
          <w:sz w:val="24"/>
          <w:szCs w:val="24"/>
        </w:rPr>
        <w:t xml:space="preserve"> niż posiadacz konta, przygotowywał </w:t>
      </w:r>
      <w:r w:rsidR="002878FB">
        <w:rPr>
          <w:rFonts w:ascii="Times New Roman" w:hAnsi="Times New Roman" w:cs="Times New Roman"/>
          <w:sz w:val="24"/>
          <w:szCs w:val="24"/>
        </w:rPr>
        <w:t>dane</w:t>
      </w:r>
      <w:r w:rsidR="002878FB" w:rsidRPr="00CC27C6">
        <w:rPr>
          <w:rFonts w:ascii="Times New Roman" w:hAnsi="Times New Roman" w:cs="Times New Roman"/>
          <w:sz w:val="24"/>
          <w:szCs w:val="24"/>
        </w:rPr>
        <w:t xml:space="preserve"> pismo.</w:t>
      </w:r>
      <w:r w:rsidR="002878FB">
        <w:rPr>
          <w:rFonts w:ascii="Times New Roman" w:hAnsi="Times New Roman" w:cs="Times New Roman"/>
          <w:sz w:val="24"/>
          <w:szCs w:val="24"/>
        </w:rPr>
        <w:t xml:space="preserve"> Inną rzeczą jest to, kto podpisze dane pismo, lecz to będzie już analizował i oceniał sąd rozpoznający daną sprawę.</w:t>
      </w:r>
    </w:p>
    <w:p w14:paraId="4A4D5F0D" w14:textId="111CB8EB" w:rsidR="009E52A9" w:rsidRPr="00F17CB7" w:rsidRDefault="009E52A9" w:rsidP="00D87094">
      <w:pPr>
        <w:spacing w:after="0" w:line="240" w:lineRule="auto"/>
        <w:ind w:left="0" w:firstLine="0"/>
        <w:rPr>
          <w:rFonts w:ascii="Times New Roman" w:hAnsi="Times New Roman" w:cs="Times New Roman"/>
          <w:bCs/>
          <w:color w:val="auto"/>
          <w:sz w:val="24"/>
          <w:szCs w:val="24"/>
        </w:rPr>
      </w:pPr>
    </w:p>
    <w:p w14:paraId="16135730" w14:textId="64B5BD1C" w:rsidR="009E52A9" w:rsidRPr="00F17CB7" w:rsidRDefault="009E52A9" w:rsidP="00D87094">
      <w:pPr>
        <w:pStyle w:val="Default"/>
        <w:numPr>
          <w:ilvl w:val="0"/>
          <w:numId w:val="4"/>
        </w:numPr>
        <w:jc w:val="both"/>
        <w:rPr>
          <w:rFonts w:ascii="Times New Roman" w:hAnsi="Times New Roman" w:cs="Times New Roman"/>
          <w:bCs/>
          <w:color w:val="auto"/>
        </w:rPr>
      </w:pPr>
      <w:r w:rsidRPr="00F17CB7">
        <w:rPr>
          <w:rFonts w:ascii="Times New Roman" w:hAnsi="Times New Roman" w:cs="Times New Roman"/>
          <w:b/>
          <w:color w:val="auto"/>
        </w:rPr>
        <w:t>Uwag</w:t>
      </w:r>
      <w:r w:rsidR="002878FB">
        <w:rPr>
          <w:rFonts w:ascii="Times New Roman" w:hAnsi="Times New Roman" w:cs="Times New Roman"/>
          <w:b/>
          <w:color w:val="auto"/>
        </w:rPr>
        <w:t>i</w:t>
      </w:r>
      <w:r w:rsidRPr="00F17CB7">
        <w:rPr>
          <w:rFonts w:ascii="Times New Roman" w:hAnsi="Times New Roman" w:cs="Times New Roman"/>
          <w:b/>
          <w:color w:val="auto"/>
        </w:rPr>
        <w:t xml:space="preserve"> Konfederacji Lewiatan</w:t>
      </w:r>
    </w:p>
    <w:p w14:paraId="2A3AEAB9" w14:textId="7E6BF128" w:rsidR="009E52A9" w:rsidRPr="00F17CB7" w:rsidRDefault="009E52A9" w:rsidP="00F17CB7">
      <w:pPr>
        <w:pStyle w:val="Default"/>
        <w:jc w:val="both"/>
        <w:rPr>
          <w:rFonts w:ascii="Times New Roman" w:hAnsi="Times New Roman" w:cs="Times New Roman"/>
          <w:bCs/>
          <w:color w:val="auto"/>
        </w:rPr>
      </w:pPr>
    </w:p>
    <w:p w14:paraId="16F99AA0" w14:textId="42146F88" w:rsidR="00C165EA" w:rsidRPr="00F17CB7" w:rsidRDefault="00D87094" w:rsidP="00C165EA">
      <w:pPr>
        <w:spacing w:after="0" w:line="240" w:lineRule="auto"/>
        <w:ind w:left="11" w:firstLine="697"/>
        <w:rPr>
          <w:rFonts w:ascii="Times New Roman" w:hAnsi="Times New Roman" w:cs="Times New Roman"/>
          <w:sz w:val="24"/>
          <w:szCs w:val="24"/>
        </w:rPr>
      </w:pPr>
      <w:r>
        <w:rPr>
          <w:rFonts w:ascii="Times New Roman" w:hAnsi="Times New Roman" w:cs="Times New Roman"/>
          <w:sz w:val="24"/>
          <w:szCs w:val="24"/>
        </w:rPr>
        <w:t xml:space="preserve">Konsultujący wskazał, że </w:t>
      </w:r>
      <w:r w:rsidR="00C165EA" w:rsidRPr="00F17CB7">
        <w:rPr>
          <w:rFonts w:ascii="Times New Roman" w:hAnsi="Times New Roman" w:cs="Times New Roman"/>
          <w:sz w:val="24"/>
          <w:szCs w:val="24"/>
        </w:rPr>
        <w:t xml:space="preserve">aby uniknąć wszelkich możliwych wątpliwości </w:t>
      </w:r>
      <w:r w:rsidR="00C165EA">
        <w:rPr>
          <w:rFonts w:ascii="Times New Roman" w:hAnsi="Times New Roman" w:cs="Times New Roman"/>
          <w:sz w:val="24"/>
          <w:szCs w:val="24"/>
        </w:rPr>
        <w:t xml:space="preserve">zawarta </w:t>
      </w:r>
      <w:r w:rsidR="00E05B09">
        <w:rPr>
          <w:rFonts w:ascii="Times New Roman" w:hAnsi="Times New Roman" w:cs="Times New Roman"/>
          <w:sz w:val="24"/>
          <w:szCs w:val="24"/>
        </w:rPr>
        <w:br/>
      </w:r>
      <w:r w:rsidR="00C165EA">
        <w:rPr>
          <w:rFonts w:ascii="Times New Roman" w:hAnsi="Times New Roman" w:cs="Times New Roman"/>
          <w:sz w:val="24"/>
          <w:szCs w:val="24"/>
        </w:rPr>
        <w:t xml:space="preserve">w rozporządzaniu </w:t>
      </w:r>
      <w:r w:rsidR="001B4C2D">
        <w:rPr>
          <w:rFonts w:ascii="Times New Roman" w:hAnsi="Times New Roman" w:cs="Times New Roman"/>
          <w:sz w:val="24"/>
          <w:szCs w:val="24"/>
        </w:rPr>
        <w:t xml:space="preserve">definicja </w:t>
      </w:r>
      <w:r w:rsidR="00C165EA" w:rsidRPr="00101B30">
        <w:rPr>
          <w:rFonts w:ascii="Times New Roman" w:hAnsi="Times New Roman" w:cs="Times New Roman"/>
          <w:i/>
          <w:iCs/>
          <w:sz w:val="24"/>
          <w:szCs w:val="24"/>
        </w:rPr>
        <w:t>„podpisu elektronicznego”</w:t>
      </w:r>
      <w:r w:rsidR="00C165EA">
        <w:rPr>
          <w:rFonts w:ascii="Times New Roman" w:hAnsi="Times New Roman" w:cs="Times New Roman"/>
          <w:sz w:val="24"/>
          <w:szCs w:val="24"/>
        </w:rPr>
        <w:t xml:space="preserve"> powinna odwoływać się</w:t>
      </w:r>
      <w:r w:rsidR="00C165EA">
        <w:rPr>
          <w:rFonts w:ascii="Times New Roman" w:hAnsi="Times New Roman" w:cs="Times New Roman"/>
          <w:i/>
          <w:iCs/>
          <w:sz w:val="24"/>
          <w:szCs w:val="24"/>
        </w:rPr>
        <w:t xml:space="preserve"> do definicji </w:t>
      </w:r>
      <w:r w:rsidR="00C165EA" w:rsidRPr="00F17CB7">
        <w:rPr>
          <w:rFonts w:ascii="Times New Roman" w:hAnsi="Times New Roman" w:cs="Times New Roman"/>
          <w:i/>
          <w:iCs/>
          <w:sz w:val="24"/>
          <w:szCs w:val="24"/>
        </w:rPr>
        <w:t>podpis osobist</w:t>
      </w:r>
      <w:r w:rsidR="00C165EA">
        <w:rPr>
          <w:rFonts w:ascii="Times New Roman" w:hAnsi="Times New Roman" w:cs="Times New Roman"/>
          <w:i/>
          <w:iCs/>
          <w:sz w:val="24"/>
          <w:szCs w:val="24"/>
        </w:rPr>
        <w:t>ego</w:t>
      </w:r>
      <w:r w:rsidR="00C165EA" w:rsidRPr="00F17CB7">
        <w:rPr>
          <w:rFonts w:ascii="Times New Roman" w:hAnsi="Times New Roman" w:cs="Times New Roman"/>
          <w:i/>
          <w:iCs/>
          <w:sz w:val="24"/>
          <w:szCs w:val="24"/>
        </w:rPr>
        <w:t xml:space="preserve"> określon</w:t>
      </w:r>
      <w:r w:rsidR="00C165EA">
        <w:rPr>
          <w:rFonts w:ascii="Times New Roman" w:hAnsi="Times New Roman" w:cs="Times New Roman"/>
          <w:i/>
          <w:iCs/>
          <w:sz w:val="24"/>
          <w:szCs w:val="24"/>
        </w:rPr>
        <w:t>ej</w:t>
      </w:r>
      <w:r w:rsidR="00C165EA" w:rsidRPr="00F17CB7">
        <w:rPr>
          <w:rFonts w:ascii="Times New Roman" w:hAnsi="Times New Roman" w:cs="Times New Roman"/>
          <w:i/>
          <w:iCs/>
          <w:sz w:val="24"/>
          <w:szCs w:val="24"/>
        </w:rPr>
        <w:t xml:space="preserve"> </w:t>
      </w:r>
      <w:r w:rsidR="00C165EA">
        <w:rPr>
          <w:rFonts w:ascii="Times New Roman" w:hAnsi="Times New Roman" w:cs="Times New Roman"/>
          <w:i/>
          <w:iCs/>
          <w:sz w:val="24"/>
          <w:szCs w:val="24"/>
        </w:rPr>
        <w:t>„</w:t>
      </w:r>
      <w:r w:rsidR="00C165EA" w:rsidRPr="00F17CB7">
        <w:rPr>
          <w:rFonts w:ascii="Times New Roman" w:hAnsi="Times New Roman" w:cs="Times New Roman"/>
          <w:i/>
          <w:iCs/>
          <w:sz w:val="24"/>
          <w:szCs w:val="24"/>
        </w:rPr>
        <w:t>w art. 2 ust. 1 pkt 9 ustawy z dnia 6 sierpnia 2010 r. o dowodach osobistych</w:t>
      </w:r>
      <w:r w:rsidR="00C165EA" w:rsidRPr="00F17CB7">
        <w:rPr>
          <w:rFonts w:ascii="Times New Roman" w:hAnsi="Times New Roman" w:cs="Times New Roman"/>
          <w:sz w:val="24"/>
          <w:szCs w:val="24"/>
        </w:rPr>
        <w:t>”.</w:t>
      </w:r>
    </w:p>
    <w:p w14:paraId="14581E98" w14:textId="33A9F5BF" w:rsidR="006D47EB" w:rsidRPr="00C165EA" w:rsidRDefault="00C165EA" w:rsidP="00C165EA">
      <w:pPr>
        <w:spacing w:after="0" w:line="240" w:lineRule="auto"/>
        <w:ind w:left="11" w:firstLine="697"/>
        <w:rPr>
          <w:rFonts w:ascii="Times New Roman" w:hAnsi="Times New Roman" w:cs="Times New Roman"/>
          <w:sz w:val="24"/>
          <w:szCs w:val="24"/>
        </w:rPr>
      </w:pPr>
      <w:r>
        <w:rPr>
          <w:rFonts w:ascii="Times New Roman" w:hAnsi="Times New Roman" w:cs="Times New Roman"/>
          <w:sz w:val="24"/>
          <w:szCs w:val="24"/>
        </w:rPr>
        <w:lastRenderedPageBreak/>
        <w:t>Uwagi tej nie uwzględniono, albowiem projektowane</w:t>
      </w:r>
      <w:r w:rsidR="006D47EB" w:rsidRPr="00F17CB7">
        <w:rPr>
          <w:rFonts w:ascii="Times New Roman" w:hAnsi="Times New Roman" w:cs="Times New Roman"/>
          <w:sz w:val="24"/>
          <w:szCs w:val="24"/>
        </w:rPr>
        <w:t xml:space="preserve"> rozporządzenie jest aktem wykonawczym do </w:t>
      </w:r>
      <w:r w:rsidRPr="00E82BF7">
        <w:rPr>
          <w:rFonts w:ascii="Times New Roman" w:hAnsi="Times New Roman" w:cs="Times New Roman"/>
          <w:sz w:val="24"/>
          <w:szCs w:val="24"/>
        </w:rPr>
        <w:t>przepis</w:t>
      </w:r>
      <w:r>
        <w:rPr>
          <w:rFonts w:ascii="Times New Roman" w:hAnsi="Times New Roman" w:cs="Times New Roman"/>
          <w:sz w:val="24"/>
          <w:szCs w:val="24"/>
        </w:rPr>
        <w:t>ów</w:t>
      </w:r>
      <w:r w:rsidRPr="00E82BF7">
        <w:rPr>
          <w:rFonts w:ascii="Times New Roman" w:hAnsi="Times New Roman" w:cs="Times New Roman"/>
          <w:sz w:val="24"/>
          <w:szCs w:val="24"/>
        </w:rPr>
        <w:t xml:space="preserve"> ustawy z dnia 17 listopada 1964 r. – Kodeks postępowania cywilnego (Dz. U. z 2020 r. poz. 1575</w:t>
      </w:r>
      <w:r>
        <w:rPr>
          <w:rFonts w:ascii="Times New Roman" w:hAnsi="Times New Roman" w:cs="Times New Roman"/>
          <w:sz w:val="24"/>
          <w:szCs w:val="24"/>
        </w:rPr>
        <w:t xml:space="preserve"> </w:t>
      </w:r>
      <w:r w:rsidRPr="00E82BF7">
        <w:rPr>
          <w:rFonts w:ascii="Times New Roman" w:hAnsi="Times New Roman" w:cs="Times New Roman"/>
          <w:sz w:val="24"/>
          <w:szCs w:val="24"/>
        </w:rPr>
        <w:t xml:space="preserve">z </w:t>
      </w:r>
      <w:proofErr w:type="spellStart"/>
      <w:r w:rsidRPr="00E82BF7">
        <w:rPr>
          <w:rFonts w:ascii="Times New Roman" w:hAnsi="Times New Roman" w:cs="Times New Roman"/>
          <w:sz w:val="24"/>
          <w:szCs w:val="24"/>
        </w:rPr>
        <w:t>późn</w:t>
      </w:r>
      <w:proofErr w:type="spellEnd"/>
      <w:r w:rsidRPr="00E82BF7">
        <w:rPr>
          <w:rFonts w:ascii="Times New Roman" w:hAnsi="Times New Roman" w:cs="Times New Roman"/>
          <w:sz w:val="24"/>
          <w:szCs w:val="24"/>
        </w:rPr>
        <w:t>. zm.</w:t>
      </w:r>
      <w:r>
        <w:rPr>
          <w:rFonts w:ascii="Times New Roman" w:hAnsi="Times New Roman" w:cs="Times New Roman"/>
          <w:sz w:val="24"/>
          <w:szCs w:val="24"/>
        </w:rPr>
        <w:t xml:space="preserve">, zwanej dalej </w:t>
      </w:r>
      <w:r w:rsidRPr="00E82BF7">
        <w:rPr>
          <w:rFonts w:ascii="Times New Roman" w:hAnsi="Times New Roman" w:cs="Times New Roman"/>
          <w:i/>
          <w:iCs/>
          <w:sz w:val="24"/>
          <w:szCs w:val="24"/>
        </w:rPr>
        <w:t>„k.p.c.”</w:t>
      </w:r>
      <w:r w:rsidRPr="00E82BF7">
        <w:rPr>
          <w:rFonts w:ascii="Times New Roman" w:hAnsi="Times New Roman" w:cs="Times New Roman"/>
          <w:sz w:val="24"/>
          <w:szCs w:val="24"/>
        </w:rPr>
        <w:t xml:space="preserve">) </w:t>
      </w:r>
      <w:r w:rsidR="006D47EB" w:rsidRPr="00F17CB7">
        <w:rPr>
          <w:rFonts w:ascii="Times New Roman" w:hAnsi="Times New Roman" w:cs="Times New Roman"/>
          <w:sz w:val="24"/>
          <w:szCs w:val="24"/>
        </w:rPr>
        <w:t xml:space="preserve">i nawiązuje </w:t>
      </w:r>
      <w:r>
        <w:rPr>
          <w:rFonts w:ascii="Times New Roman" w:hAnsi="Times New Roman" w:cs="Times New Roman"/>
          <w:sz w:val="24"/>
          <w:szCs w:val="24"/>
        </w:rPr>
        <w:t xml:space="preserve">ono </w:t>
      </w:r>
      <w:r w:rsidR="006D47EB" w:rsidRPr="00F17CB7">
        <w:rPr>
          <w:rFonts w:ascii="Times New Roman" w:hAnsi="Times New Roman" w:cs="Times New Roman"/>
          <w:sz w:val="24"/>
          <w:szCs w:val="24"/>
        </w:rPr>
        <w:t xml:space="preserve">wprost do trzech rodzajów podpisu elektronicznego wymienianych w art. 126 § 5 </w:t>
      </w:r>
      <w:r>
        <w:rPr>
          <w:rFonts w:ascii="Times New Roman" w:hAnsi="Times New Roman" w:cs="Times New Roman"/>
          <w:sz w:val="24"/>
          <w:szCs w:val="24"/>
        </w:rPr>
        <w:t xml:space="preserve">k.p.c. </w:t>
      </w:r>
    </w:p>
    <w:p w14:paraId="3DF63111" w14:textId="7673888B" w:rsidR="00E2736D" w:rsidRPr="00101B30" w:rsidRDefault="006D47EB" w:rsidP="00101B30">
      <w:pPr>
        <w:spacing w:after="0" w:line="240" w:lineRule="auto"/>
        <w:ind w:left="0" w:right="0" w:firstLine="697"/>
        <w:rPr>
          <w:rFonts w:ascii="Times New Roman" w:hAnsi="Times New Roman" w:cs="Times New Roman"/>
          <w:sz w:val="24"/>
          <w:szCs w:val="24"/>
        </w:rPr>
      </w:pPr>
      <w:r w:rsidRPr="00F17CB7">
        <w:rPr>
          <w:rFonts w:ascii="Times New Roman" w:eastAsia="Times New Roman" w:hAnsi="Times New Roman" w:cs="Times New Roman"/>
          <w:sz w:val="24"/>
          <w:szCs w:val="24"/>
        </w:rPr>
        <w:t xml:space="preserve">Na gruncie </w:t>
      </w:r>
      <w:r w:rsidR="00101B30">
        <w:rPr>
          <w:rFonts w:ascii="Times New Roman" w:eastAsia="Times New Roman" w:hAnsi="Times New Roman" w:cs="Times New Roman"/>
          <w:sz w:val="24"/>
          <w:szCs w:val="24"/>
        </w:rPr>
        <w:t xml:space="preserve">przepisów k.p.c. rozumienie pojęcia </w:t>
      </w:r>
      <w:r w:rsidRPr="00F17CB7">
        <w:rPr>
          <w:rFonts w:ascii="Times New Roman" w:eastAsia="Times New Roman" w:hAnsi="Times New Roman" w:cs="Times New Roman"/>
          <w:sz w:val="24"/>
          <w:szCs w:val="24"/>
        </w:rPr>
        <w:t>„</w:t>
      </w:r>
      <w:r w:rsidRPr="00F17CB7">
        <w:rPr>
          <w:rFonts w:ascii="Times New Roman" w:eastAsia="Times New Roman" w:hAnsi="Times New Roman" w:cs="Times New Roman"/>
          <w:i/>
          <w:iCs/>
          <w:sz w:val="24"/>
          <w:szCs w:val="24"/>
        </w:rPr>
        <w:t>podpis</w:t>
      </w:r>
      <w:r w:rsidR="00101B30">
        <w:rPr>
          <w:rFonts w:ascii="Times New Roman" w:eastAsia="Times New Roman" w:hAnsi="Times New Roman" w:cs="Times New Roman"/>
          <w:i/>
          <w:iCs/>
          <w:sz w:val="24"/>
          <w:szCs w:val="24"/>
        </w:rPr>
        <w:t>u</w:t>
      </w:r>
      <w:r w:rsidRPr="00F17CB7">
        <w:rPr>
          <w:rFonts w:ascii="Times New Roman" w:eastAsia="Times New Roman" w:hAnsi="Times New Roman" w:cs="Times New Roman"/>
          <w:i/>
          <w:iCs/>
          <w:sz w:val="24"/>
          <w:szCs w:val="24"/>
        </w:rPr>
        <w:t xml:space="preserve"> osobist</w:t>
      </w:r>
      <w:r w:rsidR="00101B30">
        <w:rPr>
          <w:rFonts w:ascii="Times New Roman" w:eastAsia="Times New Roman" w:hAnsi="Times New Roman" w:cs="Times New Roman"/>
          <w:i/>
          <w:iCs/>
          <w:sz w:val="24"/>
          <w:szCs w:val="24"/>
        </w:rPr>
        <w:t>ego</w:t>
      </w:r>
      <w:r w:rsidRPr="00F17CB7">
        <w:rPr>
          <w:rFonts w:ascii="Times New Roman" w:eastAsia="Times New Roman" w:hAnsi="Times New Roman" w:cs="Times New Roman"/>
          <w:sz w:val="24"/>
          <w:szCs w:val="24"/>
        </w:rPr>
        <w:t xml:space="preserve">”, jest już </w:t>
      </w:r>
      <w:r w:rsidR="00101B30">
        <w:rPr>
          <w:rFonts w:ascii="Times New Roman" w:eastAsia="Times New Roman" w:hAnsi="Times New Roman" w:cs="Times New Roman"/>
          <w:sz w:val="24"/>
          <w:szCs w:val="24"/>
        </w:rPr>
        <w:t xml:space="preserve">uregulowane i </w:t>
      </w:r>
      <w:r w:rsidRPr="00F17CB7">
        <w:rPr>
          <w:rFonts w:ascii="Times New Roman" w:eastAsia="Times New Roman" w:hAnsi="Times New Roman" w:cs="Times New Roman"/>
          <w:sz w:val="24"/>
          <w:szCs w:val="24"/>
        </w:rPr>
        <w:t>ugruntowan</w:t>
      </w:r>
      <w:r w:rsidR="001B4C2D">
        <w:rPr>
          <w:rFonts w:ascii="Times New Roman" w:eastAsia="Times New Roman" w:hAnsi="Times New Roman" w:cs="Times New Roman"/>
          <w:sz w:val="24"/>
          <w:szCs w:val="24"/>
        </w:rPr>
        <w:t>e</w:t>
      </w:r>
      <w:r w:rsidRPr="00F17CB7">
        <w:rPr>
          <w:rFonts w:ascii="Times New Roman" w:eastAsia="Times New Roman" w:hAnsi="Times New Roman" w:cs="Times New Roman"/>
          <w:sz w:val="24"/>
          <w:szCs w:val="24"/>
        </w:rPr>
        <w:t xml:space="preserve"> od ponad 2 lat (w tym zakresie zmiana </w:t>
      </w:r>
      <w:r w:rsidR="00101B30">
        <w:rPr>
          <w:rFonts w:ascii="Times New Roman" w:eastAsia="Times New Roman" w:hAnsi="Times New Roman" w:cs="Times New Roman"/>
          <w:sz w:val="24"/>
          <w:szCs w:val="24"/>
        </w:rPr>
        <w:t xml:space="preserve">wskazanej </w:t>
      </w:r>
      <w:r w:rsidRPr="00F17CB7">
        <w:rPr>
          <w:rFonts w:ascii="Times New Roman" w:eastAsia="Times New Roman" w:hAnsi="Times New Roman" w:cs="Times New Roman"/>
          <w:sz w:val="24"/>
          <w:szCs w:val="24"/>
        </w:rPr>
        <w:t xml:space="preserve">ustawy </w:t>
      </w:r>
      <w:r w:rsidR="001B4C2D">
        <w:rPr>
          <w:rFonts w:ascii="Times New Roman" w:eastAsia="Times New Roman" w:hAnsi="Times New Roman" w:cs="Times New Roman"/>
          <w:sz w:val="24"/>
          <w:szCs w:val="24"/>
        </w:rPr>
        <w:br/>
      </w:r>
      <w:r w:rsidRPr="00F17CB7">
        <w:rPr>
          <w:rFonts w:ascii="Times New Roman" w:eastAsia="Times New Roman" w:hAnsi="Times New Roman" w:cs="Times New Roman"/>
          <w:sz w:val="24"/>
          <w:szCs w:val="24"/>
        </w:rPr>
        <w:t xml:space="preserve">o dowodach osobistych, a w konsekwencji zmiana </w:t>
      </w:r>
      <w:r w:rsidR="00101B30">
        <w:rPr>
          <w:rFonts w:ascii="Times New Roman" w:eastAsia="Times New Roman" w:hAnsi="Times New Roman" w:cs="Times New Roman"/>
          <w:sz w:val="24"/>
          <w:szCs w:val="24"/>
        </w:rPr>
        <w:t>k.p.c.</w:t>
      </w:r>
      <w:r w:rsidRPr="00F17CB7">
        <w:rPr>
          <w:rFonts w:ascii="Times New Roman" w:eastAsia="Times New Roman" w:hAnsi="Times New Roman" w:cs="Times New Roman"/>
          <w:sz w:val="24"/>
          <w:szCs w:val="24"/>
        </w:rPr>
        <w:t xml:space="preserve">, weszła w życie 4 marca 2019 r.), </w:t>
      </w:r>
      <w:r w:rsidR="001B4C2D">
        <w:rPr>
          <w:rFonts w:ascii="Times New Roman" w:eastAsia="Times New Roman" w:hAnsi="Times New Roman" w:cs="Times New Roman"/>
          <w:sz w:val="24"/>
          <w:szCs w:val="24"/>
        </w:rPr>
        <w:br/>
      </w:r>
      <w:r w:rsidRPr="00F17CB7">
        <w:rPr>
          <w:rFonts w:ascii="Times New Roman" w:eastAsia="Times New Roman" w:hAnsi="Times New Roman" w:cs="Times New Roman"/>
          <w:sz w:val="24"/>
          <w:szCs w:val="24"/>
        </w:rPr>
        <w:t>nie ma zatem pola do wątpliwości, czym jest „</w:t>
      </w:r>
      <w:r w:rsidRPr="00F17CB7">
        <w:rPr>
          <w:rFonts w:ascii="Times New Roman" w:eastAsia="Times New Roman" w:hAnsi="Times New Roman" w:cs="Times New Roman"/>
          <w:i/>
          <w:iCs/>
          <w:sz w:val="24"/>
          <w:szCs w:val="24"/>
        </w:rPr>
        <w:t>podpis osobisty</w:t>
      </w:r>
      <w:r w:rsidRPr="00F17CB7">
        <w:rPr>
          <w:rFonts w:ascii="Times New Roman" w:eastAsia="Times New Roman" w:hAnsi="Times New Roman" w:cs="Times New Roman"/>
          <w:sz w:val="24"/>
          <w:szCs w:val="24"/>
        </w:rPr>
        <w:t xml:space="preserve">” jako jeden z podpisów elektronicznych. Nie budzi także wątpliwości, że na gruncie art. 126 § 5 </w:t>
      </w:r>
      <w:r w:rsidR="00101B30">
        <w:rPr>
          <w:rFonts w:ascii="Times New Roman" w:eastAsia="Times New Roman" w:hAnsi="Times New Roman" w:cs="Times New Roman"/>
          <w:sz w:val="24"/>
          <w:szCs w:val="24"/>
        </w:rPr>
        <w:t xml:space="preserve">k.p.c. </w:t>
      </w:r>
      <w:r w:rsidRPr="00F17CB7">
        <w:rPr>
          <w:rFonts w:ascii="Times New Roman" w:eastAsia="Times New Roman" w:hAnsi="Times New Roman" w:cs="Times New Roman"/>
          <w:sz w:val="24"/>
          <w:szCs w:val="24"/>
        </w:rPr>
        <w:t>chodzi o „</w:t>
      </w:r>
      <w:r w:rsidRPr="00F17CB7">
        <w:rPr>
          <w:rFonts w:ascii="Times New Roman" w:eastAsia="Times New Roman" w:hAnsi="Times New Roman" w:cs="Times New Roman"/>
          <w:i/>
          <w:iCs/>
          <w:sz w:val="24"/>
          <w:szCs w:val="24"/>
        </w:rPr>
        <w:t>podpis osobisty</w:t>
      </w:r>
      <w:r w:rsidRPr="00F17CB7">
        <w:rPr>
          <w:rFonts w:ascii="Times New Roman" w:eastAsia="Times New Roman" w:hAnsi="Times New Roman" w:cs="Times New Roman"/>
          <w:sz w:val="24"/>
          <w:szCs w:val="24"/>
        </w:rPr>
        <w:t>” w rozumieniu ustawy o dowodach osobistyc</w:t>
      </w:r>
      <w:r w:rsidR="00101B30">
        <w:rPr>
          <w:rFonts w:ascii="Times New Roman" w:eastAsia="Times New Roman" w:hAnsi="Times New Roman" w:cs="Times New Roman"/>
          <w:sz w:val="24"/>
          <w:szCs w:val="24"/>
        </w:rPr>
        <w:t>h.</w:t>
      </w:r>
    </w:p>
    <w:sectPr w:rsidR="00E2736D" w:rsidRPr="00101B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3454DB"/>
    <w:multiLevelType w:val="hybridMultilevel"/>
    <w:tmpl w:val="B5003A66"/>
    <w:lvl w:ilvl="0" w:tplc="CA5A6960">
      <w:start w:val="1"/>
      <w:numFmt w:val="upperRoman"/>
      <w:lvlText w:val="%1."/>
      <w:lvlJc w:val="left"/>
      <w:pPr>
        <w:ind w:left="1080" w:hanging="72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CAD52A0"/>
    <w:multiLevelType w:val="hybridMultilevel"/>
    <w:tmpl w:val="2708A454"/>
    <w:lvl w:ilvl="0" w:tplc="A130167E">
      <w:start w:val="1"/>
      <w:numFmt w:val="upperRoman"/>
      <w:lvlText w:val="%1."/>
      <w:lvlJc w:val="left"/>
      <w:pPr>
        <w:ind w:left="1428" w:hanging="72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 w15:restartNumberingAfterBreak="0">
    <w:nsid w:val="2B7A1776"/>
    <w:multiLevelType w:val="hybridMultilevel"/>
    <w:tmpl w:val="5E6E24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7C535DF"/>
    <w:multiLevelType w:val="hybridMultilevel"/>
    <w:tmpl w:val="CCAA25DA"/>
    <w:lvl w:ilvl="0" w:tplc="E5A80C8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39B60F9"/>
    <w:multiLevelType w:val="hybridMultilevel"/>
    <w:tmpl w:val="EAAA12C0"/>
    <w:lvl w:ilvl="0" w:tplc="E6AE56F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3DB1"/>
    <w:rsid w:val="00005722"/>
    <w:rsid w:val="00030AE8"/>
    <w:rsid w:val="00037107"/>
    <w:rsid w:val="00044636"/>
    <w:rsid w:val="00047C1A"/>
    <w:rsid w:val="00085DD9"/>
    <w:rsid w:val="000910B0"/>
    <w:rsid w:val="00095600"/>
    <w:rsid w:val="00095A3E"/>
    <w:rsid w:val="00097E0F"/>
    <w:rsid w:val="000A503E"/>
    <w:rsid w:val="000A61BF"/>
    <w:rsid w:val="000A7593"/>
    <w:rsid w:val="000B108F"/>
    <w:rsid w:val="000D79D5"/>
    <w:rsid w:val="000E3A37"/>
    <w:rsid w:val="000E4B79"/>
    <w:rsid w:val="000F25FD"/>
    <w:rsid w:val="00101B30"/>
    <w:rsid w:val="00107A7D"/>
    <w:rsid w:val="00112EAC"/>
    <w:rsid w:val="00121434"/>
    <w:rsid w:val="0012609E"/>
    <w:rsid w:val="00131997"/>
    <w:rsid w:val="001544EB"/>
    <w:rsid w:val="00191CE2"/>
    <w:rsid w:val="001A4D64"/>
    <w:rsid w:val="001B0B11"/>
    <w:rsid w:val="001B4C2D"/>
    <w:rsid w:val="001C0B35"/>
    <w:rsid w:val="001C63FB"/>
    <w:rsid w:val="001D017C"/>
    <w:rsid w:val="001D4781"/>
    <w:rsid w:val="001D4F85"/>
    <w:rsid w:val="001F2152"/>
    <w:rsid w:val="001F3C22"/>
    <w:rsid w:val="001F6AD0"/>
    <w:rsid w:val="0020724D"/>
    <w:rsid w:val="00232155"/>
    <w:rsid w:val="00235336"/>
    <w:rsid w:val="002401AF"/>
    <w:rsid w:val="00246287"/>
    <w:rsid w:val="00246CD4"/>
    <w:rsid w:val="00251566"/>
    <w:rsid w:val="002518E6"/>
    <w:rsid w:val="0027035C"/>
    <w:rsid w:val="00274118"/>
    <w:rsid w:val="00281113"/>
    <w:rsid w:val="00281B1A"/>
    <w:rsid w:val="002842EF"/>
    <w:rsid w:val="002878FB"/>
    <w:rsid w:val="00292387"/>
    <w:rsid w:val="00297445"/>
    <w:rsid w:val="002A7ADA"/>
    <w:rsid w:val="002C0823"/>
    <w:rsid w:val="002C47D3"/>
    <w:rsid w:val="002D0FB0"/>
    <w:rsid w:val="002D15C5"/>
    <w:rsid w:val="002E5508"/>
    <w:rsid w:val="002E6647"/>
    <w:rsid w:val="00310AFB"/>
    <w:rsid w:val="0032790F"/>
    <w:rsid w:val="00353086"/>
    <w:rsid w:val="00355F5B"/>
    <w:rsid w:val="0036293B"/>
    <w:rsid w:val="00370007"/>
    <w:rsid w:val="0038061A"/>
    <w:rsid w:val="003B4776"/>
    <w:rsid w:val="003D7619"/>
    <w:rsid w:val="003E1B0F"/>
    <w:rsid w:val="003F6522"/>
    <w:rsid w:val="0045391F"/>
    <w:rsid w:val="00454357"/>
    <w:rsid w:val="004A1DB4"/>
    <w:rsid w:val="004A1ED5"/>
    <w:rsid w:val="004A2B00"/>
    <w:rsid w:val="004A5580"/>
    <w:rsid w:val="004A67CB"/>
    <w:rsid w:val="004B4624"/>
    <w:rsid w:val="004B6D0A"/>
    <w:rsid w:val="004C7C5B"/>
    <w:rsid w:val="004D2A85"/>
    <w:rsid w:val="004E386A"/>
    <w:rsid w:val="004E38D9"/>
    <w:rsid w:val="004E40C8"/>
    <w:rsid w:val="004E4E08"/>
    <w:rsid w:val="004E5678"/>
    <w:rsid w:val="004F1F91"/>
    <w:rsid w:val="004F4F8F"/>
    <w:rsid w:val="00502299"/>
    <w:rsid w:val="00512978"/>
    <w:rsid w:val="00514C58"/>
    <w:rsid w:val="00516F7E"/>
    <w:rsid w:val="00517795"/>
    <w:rsid w:val="005238BA"/>
    <w:rsid w:val="00523C47"/>
    <w:rsid w:val="0053603A"/>
    <w:rsid w:val="005473D6"/>
    <w:rsid w:val="00547E84"/>
    <w:rsid w:val="005535B0"/>
    <w:rsid w:val="00564B3A"/>
    <w:rsid w:val="00566BAE"/>
    <w:rsid w:val="005703E2"/>
    <w:rsid w:val="0057352D"/>
    <w:rsid w:val="00576015"/>
    <w:rsid w:val="00592BDB"/>
    <w:rsid w:val="005A1B46"/>
    <w:rsid w:val="005A7653"/>
    <w:rsid w:val="005C00D3"/>
    <w:rsid w:val="005D0B7C"/>
    <w:rsid w:val="005D1C56"/>
    <w:rsid w:val="005D32FE"/>
    <w:rsid w:val="005D48C7"/>
    <w:rsid w:val="005D5679"/>
    <w:rsid w:val="005F2B17"/>
    <w:rsid w:val="005F33F4"/>
    <w:rsid w:val="005F4796"/>
    <w:rsid w:val="005F5642"/>
    <w:rsid w:val="005F56DE"/>
    <w:rsid w:val="00601A70"/>
    <w:rsid w:val="006100C1"/>
    <w:rsid w:val="006137D1"/>
    <w:rsid w:val="00616056"/>
    <w:rsid w:val="00626890"/>
    <w:rsid w:val="00627B1E"/>
    <w:rsid w:val="00631853"/>
    <w:rsid w:val="006554BF"/>
    <w:rsid w:val="00656954"/>
    <w:rsid w:val="00670740"/>
    <w:rsid w:val="00677C47"/>
    <w:rsid w:val="0069684F"/>
    <w:rsid w:val="006B2F0B"/>
    <w:rsid w:val="006C28B8"/>
    <w:rsid w:val="006D47EB"/>
    <w:rsid w:val="006D4831"/>
    <w:rsid w:val="006D7EAB"/>
    <w:rsid w:val="006E14E3"/>
    <w:rsid w:val="006E56B6"/>
    <w:rsid w:val="006E5AEB"/>
    <w:rsid w:val="006F0AFD"/>
    <w:rsid w:val="00704CC5"/>
    <w:rsid w:val="0071283C"/>
    <w:rsid w:val="0071501E"/>
    <w:rsid w:val="00715DA3"/>
    <w:rsid w:val="00720232"/>
    <w:rsid w:val="00752653"/>
    <w:rsid w:val="007535E8"/>
    <w:rsid w:val="007606C4"/>
    <w:rsid w:val="00770DC7"/>
    <w:rsid w:val="00782FCA"/>
    <w:rsid w:val="007852B7"/>
    <w:rsid w:val="007927DB"/>
    <w:rsid w:val="007928B2"/>
    <w:rsid w:val="00794D70"/>
    <w:rsid w:val="007B41D3"/>
    <w:rsid w:val="007C3687"/>
    <w:rsid w:val="007C7ADB"/>
    <w:rsid w:val="007D0BE9"/>
    <w:rsid w:val="007E22BA"/>
    <w:rsid w:val="007F5243"/>
    <w:rsid w:val="00803DB1"/>
    <w:rsid w:val="008115DB"/>
    <w:rsid w:val="008224F5"/>
    <w:rsid w:val="008228D0"/>
    <w:rsid w:val="008228D1"/>
    <w:rsid w:val="008274CD"/>
    <w:rsid w:val="00834D84"/>
    <w:rsid w:val="008363D7"/>
    <w:rsid w:val="008370ED"/>
    <w:rsid w:val="008421AE"/>
    <w:rsid w:val="0084729E"/>
    <w:rsid w:val="008478E5"/>
    <w:rsid w:val="00870EF5"/>
    <w:rsid w:val="00874888"/>
    <w:rsid w:val="00875D9E"/>
    <w:rsid w:val="008819BF"/>
    <w:rsid w:val="00885D21"/>
    <w:rsid w:val="00896315"/>
    <w:rsid w:val="008A170B"/>
    <w:rsid w:val="008A298A"/>
    <w:rsid w:val="008A3BAE"/>
    <w:rsid w:val="008A3E78"/>
    <w:rsid w:val="008A50F3"/>
    <w:rsid w:val="008B5819"/>
    <w:rsid w:val="008B58D2"/>
    <w:rsid w:val="008C3809"/>
    <w:rsid w:val="008C52E6"/>
    <w:rsid w:val="008D3F0C"/>
    <w:rsid w:val="008F0472"/>
    <w:rsid w:val="0090381A"/>
    <w:rsid w:val="00905868"/>
    <w:rsid w:val="009118FF"/>
    <w:rsid w:val="00914540"/>
    <w:rsid w:val="009245F9"/>
    <w:rsid w:val="00932FEF"/>
    <w:rsid w:val="00946335"/>
    <w:rsid w:val="009475EA"/>
    <w:rsid w:val="0097050E"/>
    <w:rsid w:val="009733FA"/>
    <w:rsid w:val="009801CD"/>
    <w:rsid w:val="00984228"/>
    <w:rsid w:val="00993789"/>
    <w:rsid w:val="00993A61"/>
    <w:rsid w:val="009971DA"/>
    <w:rsid w:val="009A5849"/>
    <w:rsid w:val="009B469A"/>
    <w:rsid w:val="009C24A9"/>
    <w:rsid w:val="009D3CFA"/>
    <w:rsid w:val="009D4416"/>
    <w:rsid w:val="009E52A9"/>
    <w:rsid w:val="00A01C3A"/>
    <w:rsid w:val="00A01E83"/>
    <w:rsid w:val="00A02ABF"/>
    <w:rsid w:val="00A07BB7"/>
    <w:rsid w:val="00A27E2E"/>
    <w:rsid w:val="00A36E6F"/>
    <w:rsid w:val="00A46C2E"/>
    <w:rsid w:val="00A52BFD"/>
    <w:rsid w:val="00A54315"/>
    <w:rsid w:val="00A5535A"/>
    <w:rsid w:val="00A62A51"/>
    <w:rsid w:val="00A66F06"/>
    <w:rsid w:val="00A73077"/>
    <w:rsid w:val="00A964E7"/>
    <w:rsid w:val="00AA58E1"/>
    <w:rsid w:val="00AB1617"/>
    <w:rsid w:val="00AC726F"/>
    <w:rsid w:val="00AC73B3"/>
    <w:rsid w:val="00AE0E37"/>
    <w:rsid w:val="00AF006D"/>
    <w:rsid w:val="00B04A1E"/>
    <w:rsid w:val="00B04CB4"/>
    <w:rsid w:val="00B14DEB"/>
    <w:rsid w:val="00B1671E"/>
    <w:rsid w:val="00B2748F"/>
    <w:rsid w:val="00B408DD"/>
    <w:rsid w:val="00B50911"/>
    <w:rsid w:val="00B55696"/>
    <w:rsid w:val="00B609CB"/>
    <w:rsid w:val="00B85989"/>
    <w:rsid w:val="00B876AA"/>
    <w:rsid w:val="00B94116"/>
    <w:rsid w:val="00BB7C67"/>
    <w:rsid w:val="00BC1121"/>
    <w:rsid w:val="00BC6AAC"/>
    <w:rsid w:val="00BD76E8"/>
    <w:rsid w:val="00BE00BD"/>
    <w:rsid w:val="00C03405"/>
    <w:rsid w:val="00C036A9"/>
    <w:rsid w:val="00C074F0"/>
    <w:rsid w:val="00C13D14"/>
    <w:rsid w:val="00C165EA"/>
    <w:rsid w:val="00C169B0"/>
    <w:rsid w:val="00C1715C"/>
    <w:rsid w:val="00C26A3A"/>
    <w:rsid w:val="00C32C3B"/>
    <w:rsid w:val="00C34B51"/>
    <w:rsid w:val="00C507E0"/>
    <w:rsid w:val="00C6191B"/>
    <w:rsid w:val="00C629AF"/>
    <w:rsid w:val="00C7753E"/>
    <w:rsid w:val="00C91D9F"/>
    <w:rsid w:val="00CA5DBE"/>
    <w:rsid w:val="00CA7BD4"/>
    <w:rsid w:val="00CB13C2"/>
    <w:rsid w:val="00CB3319"/>
    <w:rsid w:val="00CC2186"/>
    <w:rsid w:val="00CC4A72"/>
    <w:rsid w:val="00D120B9"/>
    <w:rsid w:val="00D150B1"/>
    <w:rsid w:val="00D26753"/>
    <w:rsid w:val="00D32E44"/>
    <w:rsid w:val="00D5177A"/>
    <w:rsid w:val="00D707BC"/>
    <w:rsid w:val="00D85F2A"/>
    <w:rsid w:val="00D87094"/>
    <w:rsid w:val="00D95BAB"/>
    <w:rsid w:val="00DB1CB0"/>
    <w:rsid w:val="00DC5EB5"/>
    <w:rsid w:val="00DE2D47"/>
    <w:rsid w:val="00DE3323"/>
    <w:rsid w:val="00DF621D"/>
    <w:rsid w:val="00E05B09"/>
    <w:rsid w:val="00E1345F"/>
    <w:rsid w:val="00E14D90"/>
    <w:rsid w:val="00E225B0"/>
    <w:rsid w:val="00E2278E"/>
    <w:rsid w:val="00E23144"/>
    <w:rsid w:val="00E26903"/>
    <w:rsid w:val="00E2736D"/>
    <w:rsid w:val="00E3026F"/>
    <w:rsid w:val="00E31A10"/>
    <w:rsid w:val="00E53F70"/>
    <w:rsid w:val="00E552FC"/>
    <w:rsid w:val="00E5680F"/>
    <w:rsid w:val="00E65164"/>
    <w:rsid w:val="00E75888"/>
    <w:rsid w:val="00EA71E4"/>
    <w:rsid w:val="00EB7877"/>
    <w:rsid w:val="00EC0F64"/>
    <w:rsid w:val="00EC6F96"/>
    <w:rsid w:val="00EE4697"/>
    <w:rsid w:val="00EF63E5"/>
    <w:rsid w:val="00EF6626"/>
    <w:rsid w:val="00F0673A"/>
    <w:rsid w:val="00F17CB7"/>
    <w:rsid w:val="00F30194"/>
    <w:rsid w:val="00F545F9"/>
    <w:rsid w:val="00F66830"/>
    <w:rsid w:val="00F76FF9"/>
    <w:rsid w:val="00FA1C61"/>
    <w:rsid w:val="00FA4970"/>
    <w:rsid w:val="00FA62F1"/>
    <w:rsid w:val="00FA6864"/>
    <w:rsid w:val="00FC0054"/>
    <w:rsid w:val="00FC005B"/>
    <w:rsid w:val="00FD7842"/>
    <w:rsid w:val="00FE765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865A34"/>
  <w15:chartTrackingRefBased/>
  <w15:docId w15:val="{1478A24A-F960-4B61-9F03-169F05088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ny">
    <w:name w:val="Normal"/>
    <w:qFormat/>
    <w:rsid w:val="00E2736D"/>
    <w:pPr>
      <w:spacing w:after="159" w:line="256" w:lineRule="auto"/>
      <w:ind w:left="10" w:right="34" w:hanging="10"/>
      <w:jc w:val="both"/>
    </w:pPr>
    <w:rPr>
      <w:rFonts w:ascii="Calibri" w:eastAsia="Calibri" w:hAnsi="Calibri" w:cs="Calibri"/>
      <w:color w:val="00000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5A1B46"/>
    <w:pPr>
      <w:autoSpaceDE w:val="0"/>
      <w:autoSpaceDN w:val="0"/>
      <w:adjustRightInd w:val="0"/>
      <w:spacing w:after="0" w:line="240" w:lineRule="auto"/>
    </w:pPr>
    <w:rPr>
      <w:rFonts w:ascii="Garamond" w:hAnsi="Garamond" w:cs="Garamond"/>
      <w:color w:val="000000"/>
      <w:sz w:val="24"/>
      <w:szCs w:val="24"/>
    </w:rPr>
  </w:style>
  <w:style w:type="character" w:customStyle="1" w:styleId="IGindeksgrny">
    <w:name w:val="_IG_ – indeks górny"/>
    <w:basedOn w:val="Domylnaczcionkaakapitu"/>
    <w:uiPriority w:val="2"/>
    <w:qFormat/>
    <w:rsid w:val="00523C47"/>
    <w:rPr>
      <w:b w:val="0"/>
      <w:i w:val="0"/>
      <w:vanish w:val="0"/>
      <w:spacing w:val="0"/>
      <w:vertAlign w:val="superscript"/>
    </w:rPr>
  </w:style>
  <w:style w:type="paragraph" w:customStyle="1" w:styleId="ARTartustawynprozporzdzenia">
    <w:name w:val="ART(§) – art. ustawy (§ np. rozporządzenia)"/>
    <w:uiPriority w:val="11"/>
    <w:qFormat/>
    <w:rsid w:val="009475EA"/>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paragraph" w:styleId="Tekstdymka">
    <w:name w:val="Balloon Text"/>
    <w:basedOn w:val="Normalny"/>
    <w:link w:val="TekstdymkaZnak"/>
    <w:uiPriority w:val="99"/>
    <w:semiHidden/>
    <w:unhideWhenUsed/>
    <w:rsid w:val="00AE0E3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E0E37"/>
    <w:rPr>
      <w:rFonts w:ascii="Segoe UI" w:eastAsia="Calibri" w:hAnsi="Segoe UI" w:cs="Segoe UI"/>
      <w:color w:val="000000"/>
      <w:sz w:val="18"/>
      <w:szCs w:val="18"/>
      <w:lang w:eastAsia="pl-PL"/>
    </w:rPr>
  </w:style>
  <w:style w:type="paragraph" w:customStyle="1" w:styleId="NIEARTTEKSTtekstnieartykuowanynppodstprawnarozplubpreambua">
    <w:name w:val="NIEART_TEKST – tekst nieartykułowany (np. podst. prawna rozp. lub preambuła)"/>
    <w:basedOn w:val="Normalny"/>
    <w:next w:val="Normalny"/>
    <w:uiPriority w:val="7"/>
    <w:qFormat/>
    <w:rsid w:val="006E5AEB"/>
    <w:pPr>
      <w:suppressAutoHyphens/>
      <w:autoSpaceDE w:val="0"/>
      <w:autoSpaceDN w:val="0"/>
      <w:adjustRightInd w:val="0"/>
      <w:spacing w:before="120" w:after="0" w:line="360" w:lineRule="auto"/>
      <w:ind w:left="0" w:right="0" w:firstLine="510"/>
    </w:pPr>
    <w:rPr>
      <w:rFonts w:ascii="Times" w:eastAsiaTheme="minorEastAsia" w:hAnsi="Times" w:cs="Arial"/>
      <w:bCs/>
      <w:color w:val="auto"/>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9201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1526</Words>
  <Characters>9162</Characters>
  <Application>Microsoft Office Word</Application>
  <DocSecurity>0</DocSecurity>
  <Lines>76</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Olkowicz Agnieszka  (DLPC)</dc:creator>
  <cp:keywords/>
  <dc:description/>
  <cp:lastModifiedBy>Flisikowski Rafał  (DLPC)</cp:lastModifiedBy>
  <cp:revision>2</cp:revision>
  <dcterms:created xsi:type="dcterms:W3CDTF">2021-05-27T13:36:00Z</dcterms:created>
  <dcterms:modified xsi:type="dcterms:W3CDTF">2021-05-27T13:36:00Z</dcterms:modified>
</cp:coreProperties>
</file>